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738B1">
      <w:pPr>
        <w:spacing w:line="600" w:lineRule="exact"/>
        <w:jc w:val="center"/>
        <w:rPr>
          <w:rFonts w:eastAsia="方正黑体_GBK"/>
          <w:color w:val="000000" w:themeColor="text1"/>
          <w:sz w:val="52"/>
          <w:szCs w:val="52"/>
          <w14:textFill>
            <w14:solidFill>
              <w14:schemeClr w14:val="tx1"/>
            </w14:solidFill>
          </w14:textFill>
        </w:rPr>
      </w:pPr>
      <w:r>
        <w:rPr>
          <w:rFonts w:eastAsia="方正黑体_GBK"/>
          <w:color w:val="000000" w:themeColor="text1"/>
          <w:sz w:val="52"/>
          <w:szCs w:val="52"/>
          <w14:textFill>
            <w14:solidFill>
              <w14:schemeClr w14:val="tx1"/>
            </w14:solidFill>
          </w14:textFill>
        </w:rPr>
        <w:t>宜兴市国有土地上房屋征收与补偿若干问题的处理意见</w:t>
      </w:r>
    </w:p>
    <w:p w14:paraId="2786E27A">
      <w:pPr>
        <w:spacing w:line="600" w:lineRule="exact"/>
        <w:jc w:val="center"/>
        <w:rPr>
          <w:rFonts w:ascii="方正楷体_GBK" w:eastAsia="方正楷体_GBK"/>
          <w:color w:val="000000" w:themeColor="text1"/>
          <w:szCs w:val="32"/>
          <w14:textFill>
            <w14:solidFill>
              <w14:schemeClr w14:val="tx1"/>
            </w14:solidFill>
          </w14:textFill>
        </w:rPr>
      </w:pPr>
      <w:r>
        <w:rPr>
          <w:rFonts w:hint="eastAsia" w:ascii="方正楷体_GBK" w:eastAsia="方正楷体_GBK"/>
          <w:color w:val="000000" w:themeColor="text1"/>
          <w:szCs w:val="32"/>
          <w14:textFill>
            <w14:solidFill>
              <w14:schemeClr w14:val="tx1"/>
            </w14:solidFill>
          </w14:textFill>
        </w:rPr>
        <w:t>（草案）</w:t>
      </w:r>
    </w:p>
    <w:p w14:paraId="5E41F1E0">
      <w:pPr>
        <w:spacing w:line="560" w:lineRule="exact"/>
        <w:ind w:firstLine="640" w:firstLineChars="200"/>
        <w:rPr>
          <w:rFonts w:eastAsia="方正仿宋_GBK"/>
          <w:color w:val="000000" w:themeColor="text1"/>
          <w:szCs w:val="32"/>
          <w14:textFill>
            <w14:solidFill>
              <w14:schemeClr w14:val="tx1"/>
            </w14:solidFill>
          </w14:textFill>
        </w:rPr>
      </w:pPr>
      <w:bookmarkStart w:id="8" w:name="_GoBack"/>
      <w:bookmarkEnd w:id="8"/>
    </w:p>
    <w:p w14:paraId="7CAB25AD">
      <w:pPr>
        <w:spacing w:line="560" w:lineRule="exact"/>
        <w:ind w:firstLine="640" w:firstLineChars="200"/>
        <w:rPr>
          <w:rFonts w:eastAsia="方正仿宋_GBK"/>
          <w:color w:val="000000" w:themeColor="text1"/>
          <w:szCs w:val="32"/>
          <w14:textFill>
            <w14:solidFill>
              <w14:schemeClr w14:val="tx1"/>
            </w14:solidFill>
          </w14:textFill>
        </w:rPr>
      </w:pPr>
      <w:r>
        <w:rPr>
          <w:rFonts w:eastAsia="方正仿宋_GBK"/>
          <w:color w:val="000000" w:themeColor="text1"/>
          <w:szCs w:val="32"/>
          <w14:textFill>
            <w14:solidFill>
              <w14:schemeClr w14:val="tx1"/>
            </w14:solidFill>
          </w14:textFill>
        </w:rPr>
        <w:t>为贯彻</w:t>
      </w:r>
      <w:r>
        <w:rPr>
          <w:rFonts w:hint="eastAsia" w:eastAsia="方正仿宋_GBK"/>
          <w:color w:val="000000" w:themeColor="text1"/>
          <w:szCs w:val="32"/>
          <w:lang w:val="en-US" w:eastAsia="zh-CN"/>
          <w14:textFill>
            <w14:solidFill>
              <w14:schemeClr w14:val="tx1"/>
            </w14:solidFill>
          </w14:textFill>
        </w:rPr>
        <w:t>落实</w:t>
      </w:r>
      <w:r>
        <w:rPr>
          <w:rFonts w:eastAsia="方正仿宋_GBK"/>
          <w:color w:val="000000" w:themeColor="text1"/>
          <w:szCs w:val="32"/>
          <w14:textFill>
            <w14:solidFill>
              <w14:schemeClr w14:val="tx1"/>
            </w14:solidFill>
          </w14:textFill>
        </w:rPr>
        <w:t>国务院《国有土地上房屋征收与补偿条例》、《江苏省贯彻实施〈国有土地上房屋征收与补偿条例〉若干问题的规定》等有关规定，保证本市国有土地上房屋征收与补偿行为规范有序进行，保障被征收人的合法权益，特制定如下处理意见：</w:t>
      </w:r>
    </w:p>
    <w:p w14:paraId="020CF4F6">
      <w:pPr>
        <w:spacing w:line="560" w:lineRule="exact"/>
        <w:ind w:firstLine="640" w:firstLineChars="200"/>
        <w:rPr>
          <w:rFonts w:eastAsia="方正黑体_GBK"/>
          <w:color w:val="000000" w:themeColor="text1"/>
          <w:szCs w:val="32"/>
          <w14:textFill>
            <w14:solidFill>
              <w14:schemeClr w14:val="tx1"/>
            </w14:solidFill>
          </w14:textFill>
        </w:rPr>
      </w:pPr>
      <w:r>
        <w:rPr>
          <w:rFonts w:hint="eastAsia" w:eastAsia="方正黑体_GBK"/>
          <w:color w:val="000000" w:themeColor="text1"/>
          <w:szCs w:val="32"/>
          <w14:textFill>
            <w14:solidFill>
              <w14:schemeClr w14:val="tx1"/>
            </w14:solidFill>
          </w14:textFill>
        </w:rPr>
        <w:t>一、关于房票安置补偿</w:t>
      </w:r>
    </w:p>
    <w:p w14:paraId="075D7550">
      <w:pPr>
        <w:spacing w:line="560" w:lineRule="exact"/>
        <w:ind w:firstLine="643" w:firstLineChars="200"/>
        <w:rPr>
          <w:rFonts w:eastAsia="方正仿宋_GBK"/>
          <w:b/>
          <w:color w:val="000000" w:themeColor="text1"/>
          <w:szCs w:val="32"/>
          <w14:textFill>
            <w14:solidFill>
              <w14:schemeClr w14:val="tx1"/>
            </w14:solidFill>
          </w14:textFill>
        </w:rPr>
      </w:pPr>
      <w:r>
        <w:rPr>
          <w:rFonts w:hint="eastAsia" w:eastAsia="方正仿宋_GBK"/>
          <w:b/>
          <w:color w:val="000000" w:themeColor="text1"/>
          <w:szCs w:val="32"/>
          <w14:textFill>
            <w14:solidFill>
              <w14:schemeClr w14:val="tx1"/>
            </w14:solidFill>
          </w14:textFill>
        </w:rPr>
        <w:t>（一）房票适用项目</w:t>
      </w:r>
    </w:p>
    <w:p w14:paraId="276A2062">
      <w:pPr>
        <w:spacing w:line="560" w:lineRule="exact"/>
        <w:ind w:firstLine="640" w:firstLineChars="200"/>
        <w:rPr>
          <w:rFonts w:eastAsia="方正仿宋_GBK"/>
          <w:color w:val="000000" w:themeColor="text1"/>
          <w:szCs w:val="32"/>
          <w14:textFill>
            <w14:solidFill>
              <w14:schemeClr w14:val="tx1"/>
            </w14:solidFill>
          </w14:textFill>
        </w:rPr>
      </w:pPr>
      <w:r>
        <w:rPr>
          <w:rFonts w:hint="eastAsia" w:eastAsia="方正仿宋_GBK"/>
          <w:color w:val="000000" w:themeColor="text1"/>
          <w:szCs w:val="32"/>
          <w14:textFill>
            <w14:solidFill>
              <w14:schemeClr w14:val="tx1"/>
            </w14:solidFill>
          </w14:textFill>
        </w:rPr>
        <w:t>房票在国有土地上新开工的房屋征收项目和已完成的房屋征收项目中均可以使用。在已完成的征收项目中，被征收人已签订安置补偿协议，安置房未交付或已交付未使用的，可以使用房票进行回购，回购价格由征收实施单位参考当地安置房市场价确定。</w:t>
      </w:r>
    </w:p>
    <w:p w14:paraId="60DAF23A">
      <w:pPr>
        <w:spacing w:line="560" w:lineRule="exact"/>
        <w:ind w:firstLine="643" w:firstLineChars="200"/>
        <w:rPr>
          <w:rFonts w:eastAsia="方正仿宋_GBK"/>
          <w:b/>
          <w:color w:val="000000" w:themeColor="text1"/>
          <w:szCs w:val="32"/>
          <w14:textFill>
            <w14:solidFill>
              <w14:schemeClr w14:val="tx1"/>
            </w14:solidFill>
          </w14:textFill>
        </w:rPr>
      </w:pPr>
      <w:r>
        <w:rPr>
          <w:rFonts w:hint="eastAsia" w:eastAsia="方正仿宋_GBK"/>
          <w:b/>
          <w:color w:val="000000" w:themeColor="text1"/>
          <w:szCs w:val="32"/>
          <w14:textFill>
            <w14:solidFill>
              <w14:schemeClr w14:val="tx1"/>
            </w14:solidFill>
          </w14:textFill>
        </w:rPr>
        <w:t>（二）房票使用范围</w:t>
      </w:r>
    </w:p>
    <w:p w14:paraId="7CFD3075">
      <w:pPr>
        <w:spacing w:line="560" w:lineRule="exact"/>
        <w:ind w:firstLine="640" w:firstLineChars="200"/>
        <w:rPr>
          <w:rFonts w:eastAsia="方正仿宋_GBK"/>
          <w:color w:val="000000" w:themeColor="text1"/>
          <w:szCs w:val="32"/>
          <w14:textFill>
            <w14:solidFill>
              <w14:schemeClr w14:val="tx1"/>
            </w14:solidFill>
          </w14:textFill>
        </w:rPr>
      </w:pPr>
      <w:r>
        <w:rPr>
          <w:rFonts w:hint="eastAsia" w:eastAsia="方正仿宋_GBK"/>
          <w:color w:val="000000" w:themeColor="text1"/>
          <w:szCs w:val="32"/>
          <w14:textFill>
            <w14:solidFill>
              <w14:schemeClr w14:val="tx1"/>
            </w14:solidFill>
          </w14:textFill>
        </w:rPr>
        <w:t>房票除可用于购买纳入我市房票房源信息库的新建商品房（含住宅、商铺）之外，还可以用于购买相应楼盘的车库、车位。</w:t>
      </w:r>
    </w:p>
    <w:p w14:paraId="7108428E">
      <w:pPr>
        <w:spacing w:line="560" w:lineRule="exact"/>
        <w:ind w:firstLine="643" w:firstLineChars="200"/>
        <w:rPr>
          <w:rFonts w:eastAsia="方正仿宋_GBK"/>
          <w:b/>
          <w:bCs/>
          <w:szCs w:val="32"/>
        </w:rPr>
      </w:pPr>
      <w:r>
        <w:rPr>
          <w:rFonts w:hint="eastAsia" w:eastAsia="方正仿宋_GBK"/>
          <w:b/>
          <w:bCs/>
          <w:color w:val="000000" w:themeColor="text1"/>
          <w:szCs w:val="32"/>
          <w14:textFill>
            <w14:solidFill>
              <w14:schemeClr w14:val="tx1"/>
            </w14:solidFill>
          </w14:textFill>
        </w:rPr>
        <w:t>（三）房票使用主体</w:t>
      </w:r>
    </w:p>
    <w:p w14:paraId="738626B5">
      <w:pPr>
        <w:widowControl/>
        <w:spacing w:line="560" w:lineRule="exact"/>
        <w:ind w:firstLine="640" w:firstLineChars="200"/>
        <w:rPr>
          <w:rFonts w:eastAsia="方正仿宋_GBK"/>
          <w:szCs w:val="32"/>
        </w:rPr>
      </w:pPr>
      <w:r>
        <w:rPr>
          <w:rFonts w:hint="eastAsia" w:eastAsia="方正仿宋_GBK" w:cs="方正仿宋_GBK"/>
          <w:szCs w:val="32"/>
        </w:rPr>
        <w:t>房票实行实名制，</w:t>
      </w:r>
      <w:r>
        <w:rPr>
          <w:rFonts w:hint="eastAsia" w:ascii="仿宋_GB2312" w:hAnsi="华文中宋" w:cs="华文中宋"/>
          <w:color w:val="000000" w:themeColor="text1"/>
          <w:kern w:val="0"/>
          <w:szCs w:val="32"/>
          <w14:textFill>
            <w14:solidFill>
              <w14:schemeClr w14:val="tx1"/>
            </w14:solidFill>
          </w14:textFill>
        </w:rPr>
        <w:t>房票应载明被征收人和使用人，使用人可以是被征收人本人或其近亲属。</w:t>
      </w:r>
      <w:r>
        <w:rPr>
          <w:rFonts w:hint="eastAsia" w:eastAsia="方正仿宋_GBK" w:cs="方正仿宋_GBK"/>
          <w:szCs w:val="32"/>
        </w:rPr>
        <w:t>近亲属指父母、配偶及其父母、子女及其配偶、兄弟姐妹、祖父母、外祖父母、孙子女、外孙子女。</w:t>
      </w:r>
      <w:r>
        <w:rPr>
          <w:rFonts w:hint="eastAsia" w:ascii="仿宋_GB2312" w:hAnsi="华文中宋" w:cs="华文中宋"/>
          <w:color w:val="000000" w:themeColor="text1"/>
          <w:kern w:val="0"/>
          <w:szCs w:val="32"/>
          <w14:textFill>
            <w14:solidFill>
              <w14:schemeClr w14:val="tx1"/>
            </w14:solidFill>
          </w14:textFill>
        </w:rPr>
        <w:t>被征收人和使用人不一致时，被征收人应向征收实施单位提供书面申请手续。</w:t>
      </w:r>
    </w:p>
    <w:p w14:paraId="1B51DD30">
      <w:pPr>
        <w:spacing w:line="560" w:lineRule="exact"/>
        <w:ind w:firstLine="643" w:firstLineChars="200"/>
        <w:rPr>
          <w:rFonts w:eastAsia="方正仿宋_GBK"/>
          <w:b/>
          <w:color w:val="000000" w:themeColor="text1"/>
          <w:szCs w:val="32"/>
          <w14:textFill>
            <w14:solidFill>
              <w14:schemeClr w14:val="tx1"/>
            </w14:solidFill>
          </w14:textFill>
        </w:rPr>
      </w:pPr>
      <w:r>
        <w:rPr>
          <w:rFonts w:hint="eastAsia" w:eastAsia="方正仿宋_GBK"/>
          <w:b/>
          <w:color w:val="000000" w:themeColor="text1"/>
          <w:szCs w:val="32"/>
          <w14:textFill>
            <w14:solidFill>
              <w14:schemeClr w14:val="tx1"/>
            </w14:solidFill>
          </w14:textFill>
        </w:rPr>
        <w:t>（四）房票票面金额</w:t>
      </w:r>
    </w:p>
    <w:p w14:paraId="146D0521">
      <w:pPr>
        <w:spacing w:line="560" w:lineRule="exact"/>
        <w:ind w:firstLine="640" w:firstLineChars="200"/>
        <w:rPr>
          <w:rFonts w:eastAsia="方正仿宋_GBK"/>
          <w:color w:val="000000" w:themeColor="text1"/>
          <w:szCs w:val="32"/>
          <w14:textFill>
            <w14:solidFill>
              <w14:schemeClr w14:val="tx1"/>
            </w14:solidFill>
          </w14:textFill>
        </w:rPr>
      </w:pPr>
      <w:r>
        <w:rPr>
          <w:rFonts w:hint="eastAsia" w:eastAsia="方正仿宋_GBK"/>
          <w:color w:val="000000" w:themeColor="text1"/>
          <w:szCs w:val="32"/>
          <w14:textFill>
            <w14:solidFill>
              <w14:schemeClr w14:val="tx1"/>
            </w14:solidFill>
          </w14:textFill>
        </w:rPr>
        <w:t>房票票面金额为被征收房屋货币化补偿总额，原则上搬迁补偿费、临时安置补偿费、其他补助补偿（含固定设施移装费）等费用不包含在房票票面金额内，需直接补偿给被征收人。但在被征收人申请的前提下，征收实施单位可结合实际情况，将相关费用一并纳入房票票面金额以增加使用人的购房补贴。</w:t>
      </w:r>
    </w:p>
    <w:p w14:paraId="15CCE949">
      <w:pPr>
        <w:spacing w:line="560" w:lineRule="exact"/>
        <w:ind w:firstLine="643" w:firstLineChars="200"/>
        <w:rPr>
          <w:rFonts w:eastAsia="方正仿宋_GBK"/>
          <w:b/>
          <w:color w:val="000000" w:themeColor="text1"/>
          <w:szCs w:val="32"/>
          <w14:textFill>
            <w14:solidFill>
              <w14:schemeClr w14:val="tx1"/>
            </w14:solidFill>
          </w14:textFill>
        </w:rPr>
      </w:pPr>
      <w:r>
        <w:rPr>
          <w:rFonts w:hint="eastAsia" w:eastAsia="方正仿宋_GBK"/>
          <w:b/>
          <w:color w:val="000000" w:themeColor="text1"/>
          <w:szCs w:val="32"/>
          <w14:textFill>
            <w14:solidFill>
              <w14:schemeClr w14:val="tx1"/>
            </w14:solidFill>
          </w14:textFill>
        </w:rPr>
        <w:t>（五）房票使用期限</w:t>
      </w:r>
    </w:p>
    <w:p w14:paraId="2AE8E330">
      <w:pPr>
        <w:snapToGrid w:val="0"/>
        <w:spacing w:line="560" w:lineRule="exact"/>
        <w:ind w:firstLine="640" w:firstLineChars="200"/>
        <w:rPr>
          <w:rFonts w:eastAsia="黑体" w:cs="黑体"/>
          <w:szCs w:val="32"/>
        </w:rPr>
      </w:pPr>
      <w:r>
        <w:rPr>
          <w:rFonts w:hint="eastAsia" w:eastAsia="方正仿宋_GBK" w:cs="仿宋_GB2312"/>
          <w:szCs w:val="32"/>
        </w:rPr>
        <w:t>房屋征收及安置房回购实施单位（以下统称房票核发人）负责房票审核、开具、结算及管理等工作。</w:t>
      </w:r>
      <w:r>
        <w:rPr>
          <w:rFonts w:hint="eastAsia" w:eastAsia="方正仿宋_GBK"/>
          <w:szCs w:val="32"/>
        </w:rPr>
        <w:t>房票自开具之日起</w:t>
      </w:r>
      <w:r>
        <w:rPr>
          <w:rFonts w:eastAsia="方正仿宋_GBK"/>
          <w:szCs w:val="32"/>
        </w:rPr>
        <w:t>有效期为一年</w:t>
      </w:r>
      <w:r>
        <w:rPr>
          <w:rFonts w:hint="eastAsia" w:eastAsia="方正仿宋_GBK"/>
          <w:szCs w:val="32"/>
        </w:rPr>
        <w:t>。</w:t>
      </w:r>
      <w:r>
        <w:rPr>
          <w:rFonts w:eastAsia="方正仿宋_GBK"/>
          <w:szCs w:val="32"/>
        </w:rPr>
        <w:t>到期后，房票使用人可</w:t>
      </w:r>
      <w:r>
        <w:rPr>
          <w:rFonts w:hint="eastAsia" w:eastAsia="方正仿宋_GBK"/>
          <w:szCs w:val="32"/>
        </w:rPr>
        <w:t>以向房票核发人</w:t>
      </w:r>
      <w:r>
        <w:rPr>
          <w:rFonts w:eastAsia="方正仿宋_GBK"/>
          <w:szCs w:val="32"/>
        </w:rPr>
        <w:t>申请延期一次，时限为一年。</w:t>
      </w:r>
    </w:p>
    <w:p w14:paraId="5E7BB214">
      <w:pPr>
        <w:spacing w:line="560" w:lineRule="exact"/>
        <w:ind w:firstLine="643" w:firstLineChars="200"/>
        <w:rPr>
          <w:rFonts w:eastAsia="方正仿宋_GBK"/>
          <w:b/>
          <w:color w:val="000000" w:themeColor="text1"/>
          <w:szCs w:val="32"/>
          <w14:textFill>
            <w14:solidFill>
              <w14:schemeClr w14:val="tx1"/>
            </w14:solidFill>
          </w14:textFill>
        </w:rPr>
      </w:pPr>
      <w:r>
        <w:rPr>
          <w:rFonts w:hint="eastAsia" w:eastAsia="方正仿宋_GBK"/>
          <w:b/>
          <w:color w:val="000000" w:themeColor="text1"/>
          <w:szCs w:val="32"/>
          <w14:textFill>
            <w14:solidFill>
              <w14:schemeClr w14:val="tx1"/>
            </w14:solidFill>
          </w14:textFill>
        </w:rPr>
        <w:t>（六）房票购房补贴</w:t>
      </w:r>
    </w:p>
    <w:p w14:paraId="292A7127">
      <w:pPr>
        <w:spacing w:line="560" w:lineRule="exact"/>
        <w:ind w:firstLine="640" w:firstLineChars="200"/>
        <w:rPr>
          <w:rFonts w:eastAsia="方正仿宋_GBK"/>
          <w:color w:val="000000" w:themeColor="text1"/>
          <w:szCs w:val="32"/>
          <w14:textFill>
            <w14:solidFill>
              <w14:schemeClr w14:val="tx1"/>
            </w14:solidFill>
          </w14:textFill>
        </w:rPr>
      </w:pPr>
      <w:r>
        <w:rPr>
          <w:rFonts w:hint="eastAsia" w:eastAsia="方正仿宋_GBK"/>
          <w:color w:val="000000" w:themeColor="text1"/>
          <w:szCs w:val="32"/>
          <w14:textFill>
            <w14:solidFill>
              <w14:schemeClr w14:val="tx1"/>
            </w14:solidFill>
          </w14:textFill>
        </w:rPr>
        <w:t>使用房票购买新建商品房的，购房所在镇（园区、街道）按照购房使用房票金额给予5%的基础购房补贴。房票开具后6个月内使用房票购房的，给予2%的额外补贴；房票开具后7至12个月内使用房票购房的，给予1%的额外补贴。延长期内使用房票购房的，只享受5%的基础购房补贴，不享受额外补贴。</w:t>
      </w:r>
    </w:p>
    <w:p w14:paraId="09AC1631">
      <w:pPr>
        <w:spacing w:line="560" w:lineRule="exact"/>
        <w:ind w:firstLine="643" w:firstLineChars="200"/>
        <w:rPr>
          <w:rFonts w:eastAsia="方正仿宋_GBK"/>
          <w:color w:val="000000" w:themeColor="text1"/>
          <w:szCs w:val="32"/>
          <w14:textFill>
            <w14:solidFill>
              <w14:schemeClr w14:val="tx1"/>
            </w14:solidFill>
          </w14:textFill>
        </w:rPr>
      </w:pPr>
      <w:r>
        <w:rPr>
          <w:rFonts w:hint="eastAsia" w:eastAsia="方正仿宋_GBK"/>
          <w:b/>
          <w:color w:val="000000" w:themeColor="text1"/>
          <w:szCs w:val="32"/>
          <w14:textFill>
            <w14:solidFill>
              <w14:schemeClr w14:val="tx1"/>
            </w14:solidFill>
          </w14:textFill>
        </w:rPr>
        <w:t>（七）房票转让方式</w:t>
      </w:r>
    </w:p>
    <w:p w14:paraId="5757CA40">
      <w:pPr>
        <w:spacing w:line="560" w:lineRule="exact"/>
        <w:ind w:firstLine="640" w:firstLineChars="200"/>
        <w:rPr>
          <w:rFonts w:eastAsia="方正仿宋_GBK"/>
          <w:color w:val="000000" w:themeColor="text1"/>
          <w:szCs w:val="32"/>
          <w14:textFill>
            <w14:solidFill>
              <w14:schemeClr w14:val="tx1"/>
            </w14:solidFill>
          </w14:textFill>
        </w:rPr>
      </w:pPr>
      <w:r>
        <w:rPr>
          <w:rFonts w:hint="eastAsia" w:eastAsia="方正仿宋_GBK"/>
          <w:color w:val="000000" w:themeColor="text1"/>
          <w:szCs w:val="32"/>
          <w14:textFill>
            <w14:solidFill>
              <w14:schemeClr w14:val="tx1"/>
            </w14:solidFill>
          </w14:textFill>
        </w:rPr>
        <w:t>住宅房屋被征收后，被征收人开具房票的可以在同一征收项目中整体实名转让一次，不得分割转让，转让时需经提存公证，提交转让协议、房票转让申请审批表等，转让后房票使用期限重新计算。</w:t>
      </w:r>
    </w:p>
    <w:p w14:paraId="4CD1695D">
      <w:pPr>
        <w:spacing w:line="560" w:lineRule="exact"/>
        <w:ind w:firstLine="640" w:firstLineChars="200"/>
        <w:rPr>
          <w:rFonts w:eastAsia="方正黑体_GBK"/>
          <w:color w:val="000000" w:themeColor="text1"/>
          <w:szCs w:val="32"/>
          <w14:textFill>
            <w14:solidFill>
              <w14:schemeClr w14:val="tx1"/>
            </w14:solidFill>
          </w14:textFill>
        </w:rPr>
      </w:pPr>
      <w:r>
        <w:rPr>
          <w:rFonts w:hint="eastAsia" w:eastAsia="方正黑体_GBK"/>
          <w:color w:val="000000" w:themeColor="text1"/>
          <w:szCs w:val="32"/>
          <w14:textFill>
            <w14:solidFill>
              <w14:schemeClr w14:val="tx1"/>
            </w14:solidFill>
          </w14:textFill>
        </w:rPr>
        <w:t>二</w:t>
      </w:r>
      <w:r>
        <w:rPr>
          <w:rFonts w:eastAsia="方正黑体_GBK"/>
          <w:color w:val="000000" w:themeColor="text1"/>
          <w:szCs w:val="32"/>
          <w14:textFill>
            <w14:solidFill>
              <w14:schemeClr w14:val="tx1"/>
            </w14:solidFill>
          </w14:textFill>
        </w:rPr>
        <w:t>、关于临时安置补偿费</w:t>
      </w:r>
      <w:r>
        <w:rPr>
          <w:rFonts w:hint="eastAsia" w:eastAsia="方正黑体_GBK"/>
          <w:color w:val="000000" w:themeColor="text1"/>
          <w:szCs w:val="32"/>
          <w14:textFill>
            <w14:solidFill>
              <w14:schemeClr w14:val="tx1"/>
            </w14:solidFill>
          </w14:textFill>
        </w:rPr>
        <w:t>及过渡期限的计算规则</w:t>
      </w:r>
    </w:p>
    <w:p w14:paraId="0B0429A3">
      <w:pPr>
        <w:spacing w:line="560" w:lineRule="exact"/>
        <w:ind w:firstLine="640" w:firstLineChars="200"/>
        <w:rPr>
          <w:rFonts w:eastAsia="方正仿宋_GBK"/>
          <w:color w:val="000000" w:themeColor="text1"/>
          <w:szCs w:val="32"/>
          <w14:textFill>
            <w14:solidFill>
              <w14:schemeClr w14:val="tx1"/>
            </w14:solidFill>
          </w14:textFill>
        </w:rPr>
      </w:pPr>
      <w:r>
        <w:rPr>
          <w:rFonts w:eastAsia="方正仿宋_GBK"/>
          <w:color w:val="000000" w:themeColor="text1"/>
          <w:szCs w:val="32"/>
          <w14:textFill>
            <w14:solidFill>
              <w14:schemeClr w14:val="tx1"/>
            </w14:solidFill>
          </w14:textFill>
        </w:rPr>
        <w:t>临时安置补偿费标准以</w:t>
      </w:r>
      <w:r>
        <w:rPr>
          <w:rFonts w:hint="eastAsia" w:eastAsia="方正仿宋_GBK"/>
          <w:color w:val="000000" w:themeColor="text1"/>
          <w:szCs w:val="32"/>
          <w14:textFill>
            <w14:solidFill>
              <w14:schemeClr w14:val="tx1"/>
            </w14:solidFill>
          </w14:textFill>
        </w:rPr>
        <w:t>宜兴市住房和城乡建设局</w:t>
      </w:r>
      <w:r>
        <w:rPr>
          <w:rFonts w:eastAsia="方正仿宋_GBK"/>
          <w:color w:val="000000" w:themeColor="text1"/>
          <w:szCs w:val="32"/>
          <w14:textFill>
            <w14:solidFill>
              <w14:schemeClr w14:val="tx1"/>
            </w14:solidFill>
          </w14:textFill>
        </w:rPr>
        <w:t>发布的标准为准，首期补偿时间由房屋征收补偿方案确定。被征收人选择货币补偿或选择产权调换现房的，一次性补偿6个月。被征收人选择产权调换期房的，按实际搬迁过渡期限另增加3个月补偿。</w:t>
      </w:r>
      <w:r>
        <w:rPr>
          <w:rFonts w:hint="eastAsia" w:eastAsia="方正仿宋_GBK"/>
          <w:color w:val="000000" w:themeColor="text1"/>
          <w:szCs w:val="32"/>
          <w14:textFill>
            <w14:solidFill>
              <w14:schemeClr w14:val="tx1"/>
            </w14:solidFill>
          </w14:textFill>
        </w:rPr>
        <w:t>对于历史征收项目，实施单位使用房票进行回购的，临时安置补偿费按照实际过渡时间结合原补偿安置协议约定进行补偿。</w:t>
      </w:r>
    </w:p>
    <w:p w14:paraId="30E83350">
      <w:pPr>
        <w:spacing w:line="560" w:lineRule="exact"/>
        <w:ind w:firstLine="640" w:firstLineChars="200"/>
        <w:rPr>
          <w:rFonts w:eastAsia="方正仿宋_GBK"/>
          <w:color w:val="000000" w:themeColor="text1"/>
          <w:szCs w:val="32"/>
          <w14:textFill>
            <w14:solidFill>
              <w14:schemeClr w14:val="tx1"/>
            </w14:solidFill>
          </w14:textFill>
        </w:rPr>
      </w:pPr>
      <w:r>
        <w:rPr>
          <w:rFonts w:hint="eastAsia" w:eastAsia="方正仿宋_GBK"/>
          <w:color w:val="000000" w:themeColor="text1"/>
          <w:szCs w:val="32"/>
          <w14:textFill>
            <w14:solidFill>
              <w14:schemeClr w14:val="tx1"/>
            </w14:solidFill>
          </w14:textFill>
        </w:rPr>
        <w:t>过渡期限按照房屋征收补偿方案约定，</w:t>
      </w:r>
      <w:r>
        <w:rPr>
          <w:rFonts w:eastAsia="方正仿宋_GBK"/>
          <w:color w:val="000000" w:themeColor="text1"/>
          <w:szCs w:val="32"/>
          <w14:textFill>
            <w14:solidFill>
              <w14:schemeClr w14:val="tx1"/>
            </w14:solidFill>
          </w14:textFill>
        </w:rPr>
        <w:t>房屋征收补偿方案</w:t>
      </w:r>
      <w:r>
        <w:rPr>
          <w:rFonts w:hint="eastAsia" w:eastAsia="方正仿宋_GBK"/>
          <w:color w:val="000000" w:themeColor="text1"/>
          <w:szCs w:val="32"/>
          <w14:textFill>
            <w14:solidFill>
              <w14:schemeClr w14:val="tx1"/>
            </w14:solidFill>
          </w14:textFill>
        </w:rPr>
        <w:t>应该明确安置房交付时间。原则上</w:t>
      </w:r>
      <w:r>
        <w:rPr>
          <w:rFonts w:eastAsia="方正仿宋_GBK"/>
          <w:color w:val="000000" w:themeColor="text1"/>
          <w:szCs w:val="32"/>
          <w14:textFill>
            <w14:solidFill>
              <w14:schemeClr w14:val="tx1"/>
            </w14:solidFill>
          </w14:textFill>
        </w:rPr>
        <w:t>异地安置的过渡期限不得超过</w:t>
      </w:r>
      <w:r>
        <w:rPr>
          <w:rFonts w:hint="eastAsia" w:eastAsia="方正仿宋_GBK"/>
          <w:color w:val="000000" w:themeColor="text1"/>
          <w:szCs w:val="32"/>
          <w14:textFill>
            <w14:solidFill>
              <w14:schemeClr w14:val="tx1"/>
            </w14:solidFill>
          </w14:textFill>
        </w:rPr>
        <w:t>三年</w:t>
      </w:r>
      <w:r>
        <w:rPr>
          <w:rFonts w:eastAsia="方正仿宋_GBK"/>
          <w:color w:val="000000" w:themeColor="text1"/>
          <w:szCs w:val="32"/>
          <w14:textFill>
            <w14:solidFill>
              <w14:schemeClr w14:val="tx1"/>
            </w14:solidFill>
          </w14:textFill>
        </w:rPr>
        <w:t>，超过</w:t>
      </w:r>
      <w:r>
        <w:rPr>
          <w:rFonts w:hint="eastAsia" w:eastAsia="方正仿宋_GBK"/>
          <w:color w:val="000000" w:themeColor="text1"/>
          <w:szCs w:val="32"/>
          <w14:textFill>
            <w14:solidFill>
              <w14:schemeClr w14:val="tx1"/>
            </w14:solidFill>
          </w14:textFill>
        </w:rPr>
        <w:t>三年</w:t>
      </w:r>
      <w:r>
        <w:rPr>
          <w:rFonts w:eastAsia="方正仿宋_GBK"/>
          <w:color w:val="000000" w:themeColor="text1"/>
          <w:szCs w:val="32"/>
          <w14:textFill>
            <w14:solidFill>
              <w14:schemeClr w14:val="tx1"/>
            </w14:solidFill>
          </w14:textFill>
        </w:rPr>
        <w:t>的</w:t>
      </w:r>
      <w:r>
        <w:rPr>
          <w:rFonts w:hint="eastAsia" w:eastAsia="方正仿宋_GBK"/>
          <w:color w:val="000000" w:themeColor="text1"/>
          <w:szCs w:val="32"/>
          <w14:textFill>
            <w14:solidFill>
              <w14:schemeClr w14:val="tx1"/>
            </w14:solidFill>
          </w14:textFill>
        </w:rPr>
        <w:t>，超过</w:t>
      </w:r>
      <w:r>
        <w:rPr>
          <w:rFonts w:eastAsia="方正仿宋_GBK"/>
          <w:color w:val="000000" w:themeColor="text1"/>
          <w:szCs w:val="32"/>
          <w14:textFill>
            <w14:solidFill>
              <w14:schemeClr w14:val="tx1"/>
            </w14:solidFill>
          </w14:textFill>
        </w:rPr>
        <w:t>部分按标准基数增加一倍补偿；原地安置的过渡期限不得超过</w:t>
      </w:r>
      <w:r>
        <w:rPr>
          <w:rFonts w:hint="eastAsia" w:eastAsia="方正仿宋_GBK"/>
          <w:color w:val="000000" w:themeColor="text1"/>
          <w:szCs w:val="32"/>
          <w14:textFill>
            <w14:solidFill>
              <w14:schemeClr w14:val="tx1"/>
            </w14:solidFill>
          </w14:textFill>
        </w:rPr>
        <w:t>四年</w:t>
      </w:r>
      <w:r>
        <w:rPr>
          <w:rFonts w:eastAsia="方正仿宋_GBK"/>
          <w:color w:val="000000" w:themeColor="text1"/>
          <w:szCs w:val="32"/>
          <w14:textFill>
            <w14:solidFill>
              <w14:schemeClr w14:val="tx1"/>
            </w14:solidFill>
          </w14:textFill>
        </w:rPr>
        <w:t>，超过</w:t>
      </w:r>
      <w:r>
        <w:rPr>
          <w:rFonts w:hint="eastAsia" w:eastAsia="方正仿宋_GBK"/>
          <w:color w:val="000000" w:themeColor="text1"/>
          <w:szCs w:val="32"/>
          <w14:textFill>
            <w14:solidFill>
              <w14:schemeClr w14:val="tx1"/>
            </w14:solidFill>
          </w14:textFill>
        </w:rPr>
        <w:t>四年</w:t>
      </w:r>
      <w:r>
        <w:rPr>
          <w:rFonts w:eastAsia="方正仿宋_GBK"/>
          <w:color w:val="000000" w:themeColor="text1"/>
          <w:szCs w:val="32"/>
          <w14:textFill>
            <w14:solidFill>
              <w14:schemeClr w14:val="tx1"/>
            </w14:solidFill>
          </w14:textFill>
        </w:rPr>
        <w:t>的</w:t>
      </w:r>
      <w:r>
        <w:rPr>
          <w:rFonts w:hint="eastAsia" w:eastAsia="方正仿宋_GBK"/>
          <w:color w:val="000000" w:themeColor="text1"/>
          <w:szCs w:val="32"/>
          <w14:textFill>
            <w14:solidFill>
              <w14:schemeClr w14:val="tx1"/>
            </w14:solidFill>
          </w14:textFill>
        </w:rPr>
        <w:t>，超过</w:t>
      </w:r>
      <w:r>
        <w:rPr>
          <w:rFonts w:eastAsia="方正仿宋_GBK"/>
          <w:color w:val="000000" w:themeColor="text1"/>
          <w:szCs w:val="32"/>
          <w14:textFill>
            <w14:solidFill>
              <w14:schemeClr w14:val="tx1"/>
            </w14:solidFill>
          </w14:textFill>
        </w:rPr>
        <w:t>部分按标准基数增加一倍补偿。</w:t>
      </w:r>
    </w:p>
    <w:p w14:paraId="57055C41">
      <w:pPr>
        <w:spacing w:line="560" w:lineRule="exact"/>
        <w:ind w:firstLine="640" w:firstLineChars="200"/>
        <w:rPr>
          <w:rFonts w:eastAsia="方正黑体_GBK"/>
          <w:color w:val="000000" w:themeColor="text1"/>
          <w:szCs w:val="32"/>
          <w14:textFill>
            <w14:solidFill>
              <w14:schemeClr w14:val="tx1"/>
            </w14:solidFill>
          </w14:textFill>
        </w:rPr>
      </w:pPr>
      <w:r>
        <w:rPr>
          <w:rFonts w:hint="eastAsia" w:eastAsia="方正黑体_GBK"/>
          <w:color w:val="000000" w:themeColor="text1"/>
          <w:szCs w:val="32"/>
          <w14:textFill>
            <w14:solidFill>
              <w14:schemeClr w14:val="tx1"/>
            </w14:solidFill>
          </w14:textFill>
        </w:rPr>
        <w:t>三</w:t>
      </w:r>
      <w:r>
        <w:rPr>
          <w:rFonts w:eastAsia="方正黑体_GBK"/>
          <w:color w:val="000000" w:themeColor="text1"/>
          <w:szCs w:val="32"/>
          <w14:textFill>
            <w14:solidFill>
              <w14:schemeClr w14:val="tx1"/>
            </w14:solidFill>
          </w14:textFill>
        </w:rPr>
        <w:t>、关于提前搬迁奖励费</w:t>
      </w:r>
    </w:p>
    <w:p w14:paraId="03B0FB70">
      <w:pPr>
        <w:widowControl/>
        <w:ind w:firstLine="640" w:firstLineChars="200"/>
        <w:jc w:val="left"/>
        <w:rPr>
          <w:rFonts w:eastAsia="方正仿宋_GBK"/>
          <w:color w:val="000000" w:themeColor="text1"/>
          <w:szCs w:val="32"/>
          <w14:textFill>
            <w14:solidFill>
              <w14:schemeClr w14:val="tx1"/>
            </w14:solidFill>
          </w14:textFill>
        </w:rPr>
      </w:pPr>
      <w:r>
        <w:rPr>
          <w:rFonts w:eastAsia="方正仿宋_GBK"/>
          <w:color w:val="000000" w:themeColor="text1"/>
          <w:szCs w:val="32"/>
          <w14:textFill>
            <w14:solidFill>
              <w14:schemeClr w14:val="tx1"/>
            </w14:solidFill>
          </w14:textFill>
        </w:rPr>
        <w:t>在征收补偿方案明确的签约期限内签约搬迁交房的被征收人，按每户30000元给予搬迁奖励；超过签约期限签约搬迁并交房的被征收人，以每日等额递减10%计算。</w:t>
      </w:r>
    </w:p>
    <w:p w14:paraId="37AAB8A7">
      <w:pPr>
        <w:spacing w:line="560" w:lineRule="exact"/>
        <w:ind w:firstLine="640" w:firstLineChars="200"/>
        <w:rPr>
          <w:rFonts w:eastAsia="方正黑体_GBK"/>
          <w:color w:val="000000" w:themeColor="text1"/>
          <w:szCs w:val="32"/>
          <w14:textFill>
            <w14:solidFill>
              <w14:schemeClr w14:val="tx1"/>
            </w14:solidFill>
          </w14:textFill>
        </w:rPr>
      </w:pPr>
      <w:r>
        <w:rPr>
          <w:rFonts w:hint="eastAsia" w:eastAsia="方正黑体_GBK"/>
          <w:color w:val="000000" w:themeColor="text1"/>
          <w:szCs w:val="32"/>
          <w14:textFill>
            <w14:solidFill>
              <w14:schemeClr w14:val="tx1"/>
            </w14:solidFill>
          </w14:textFill>
        </w:rPr>
        <w:t>四、关于货币补偿补贴</w:t>
      </w:r>
    </w:p>
    <w:p w14:paraId="2B7AA4A7">
      <w:pPr>
        <w:spacing w:line="560" w:lineRule="exact"/>
        <w:ind w:firstLine="640" w:firstLineChars="200"/>
        <w:rPr>
          <w:rFonts w:eastAsia="方正仿宋_GBK"/>
          <w:color w:val="000000" w:themeColor="text1"/>
          <w:szCs w:val="32"/>
          <w14:textFill>
            <w14:solidFill>
              <w14:schemeClr w14:val="tx1"/>
            </w14:solidFill>
          </w14:textFill>
        </w:rPr>
      </w:pPr>
      <w:r>
        <w:rPr>
          <w:rFonts w:hint="eastAsia" w:eastAsia="方正仿宋_GBK"/>
          <w:color w:val="000000" w:themeColor="text1"/>
          <w:szCs w:val="32"/>
          <w14:textFill>
            <w14:solidFill>
              <w14:schemeClr w14:val="tx1"/>
            </w14:solidFill>
          </w14:textFill>
        </w:rPr>
        <w:t>征收住宅房屋选择货币补偿方式的，补偿标准不得低于房屋征收决定公告之日被征收房屋类似房地产的市场价格。在按《宜兴市国有土地上房屋征收与补偿实施办法》第二十九条第四款增加10%补贴的基础上，再根据实际情况按被征收房屋评估价格（不含装饰装修及附属物补偿）计算给予5%-10%的奖励，具体标准由各镇（园区、街道）根据征收项目具体情况确定，并在补偿安置方案中明确。</w:t>
      </w:r>
    </w:p>
    <w:p w14:paraId="1B0B672C">
      <w:pPr>
        <w:spacing w:line="560" w:lineRule="exact"/>
        <w:ind w:firstLine="640" w:firstLineChars="200"/>
        <w:rPr>
          <w:rFonts w:eastAsia="方正黑体_GBK"/>
          <w:color w:val="000000" w:themeColor="text1"/>
          <w:szCs w:val="32"/>
          <w14:textFill>
            <w14:solidFill>
              <w14:schemeClr w14:val="tx1"/>
            </w14:solidFill>
          </w14:textFill>
        </w:rPr>
      </w:pPr>
      <w:r>
        <w:rPr>
          <w:rFonts w:hint="eastAsia" w:eastAsia="方正黑体_GBK"/>
          <w:color w:val="000000" w:themeColor="text1"/>
          <w:szCs w:val="32"/>
          <w14:textFill>
            <w14:solidFill>
              <w14:schemeClr w14:val="tx1"/>
            </w14:solidFill>
          </w14:textFill>
        </w:rPr>
        <w:t>五</w:t>
      </w:r>
      <w:r>
        <w:rPr>
          <w:rFonts w:eastAsia="方正黑体_GBK"/>
          <w:color w:val="000000" w:themeColor="text1"/>
          <w:szCs w:val="32"/>
          <w14:textFill>
            <w14:solidFill>
              <w14:schemeClr w14:val="tx1"/>
            </w14:solidFill>
          </w14:textFill>
        </w:rPr>
        <w:t>、关于最低补偿标准</w:t>
      </w:r>
    </w:p>
    <w:p w14:paraId="1F81C7EC">
      <w:pPr>
        <w:spacing w:line="560" w:lineRule="exact"/>
        <w:ind w:firstLine="640" w:firstLineChars="200"/>
        <w:rPr>
          <w:rFonts w:eastAsia="方正仿宋_GBK"/>
          <w:color w:val="000000" w:themeColor="text1"/>
          <w:szCs w:val="32"/>
          <w14:textFill>
            <w14:solidFill>
              <w14:schemeClr w14:val="tx1"/>
            </w14:solidFill>
          </w14:textFill>
        </w:rPr>
      </w:pPr>
      <w:r>
        <w:rPr>
          <w:rFonts w:eastAsia="方正仿宋_GBK"/>
          <w:color w:val="000000" w:themeColor="text1"/>
          <w:szCs w:val="32"/>
          <w14:textFill>
            <w14:solidFill>
              <w14:schemeClr w14:val="tx1"/>
            </w14:solidFill>
          </w14:textFill>
        </w:rPr>
        <w:t>（一）房屋征收决定发布之日被征收人具有本市户籍，在本市仅有一处住房、无其他房产，且被征收住宅房屋合法建筑面积小于45平方米（含45平方米），由被征收人提出申请，住房保障部门审核确认，并经市房屋征收部门在征收范围内公示无异议或异议不成立的，可享受最低补偿标准。</w:t>
      </w:r>
    </w:p>
    <w:p w14:paraId="50DF6068">
      <w:pPr>
        <w:spacing w:line="560" w:lineRule="exact"/>
        <w:ind w:firstLine="640" w:firstLineChars="200"/>
        <w:rPr>
          <w:rFonts w:eastAsia="方正仿宋_GBK"/>
          <w:color w:val="000000" w:themeColor="text1"/>
          <w:szCs w:val="32"/>
          <w14:textFill>
            <w14:solidFill>
              <w14:schemeClr w14:val="tx1"/>
            </w14:solidFill>
          </w14:textFill>
        </w:rPr>
      </w:pPr>
      <w:r>
        <w:rPr>
          <w:rFonts w:eastAsia="方正仿宋_GBK"/>
          <w:color w:val="000000" w:themeColor="text1"/>
          <w:szCs w:val="32"/>
          <w14:textFill>
            <w14:solidFill>
              <w14:schemeClr w14:val="tx1"/>
            </w14:solidFill>
          </w14:textFill>
        </w:rPr>
        <w:t>（二）根据《江苏省贯彻实施&lt;国有土地上房屋征收与补偿条例&gt;若干问题的规定》第四条规定，我市的最低货币补偿标准</w:t>
      </w:r>
      <w:r>
        <w:rPr>
          <w:rFonts w:hint="eastAsia" w:eastAsia="方正仿宋_GBK"/>
          <w:color w:val="000000" w:themeColor="text1"/>
          <w:szCs w:val="32"/>
          <w14:textFill>
            <w14:solidFill>
              <w14:schemeClr w14:val="tx1"/>
            </w14:solidFill>
          </w14:textFill>
        </w:rPr>
        <w:t>按</w:t>
      </w:r>
      <w:r>
        <w:rPr>
          <w:rFonts w:eastAsia="方正仿宋_GBK"/>
          <w:color w:val="000000" w:themeColor="text1"/>
          <w:szCs w:val="32"/>
          <w14:textFill>
            <w14:solidFill>
              <w14:schemeClr w14:val="tx1"/>
            </w14:solidFill>
          </w14:textFill>
        </w:rPr>
        <w:t>征收项目所在地当期的经济适用住房（无经济适用住房的地区以安置房均价为准）的均价乘以45平方米确定。被征收人选择货币补偿的金额低于最低货币补偿标准的，按最低货币补偿标准补偿。被征收人选择产权调换的，安置指定最小套型住宅，不贴差价。</w:t>
      </w:r>
    </w:p>
    <w:p w14:paraId="24824E0C">
      <w:pPr>
        <w:spacing w:line="560" w:lineRule="exact"/>
        <w:ind w:firstLine="640" w:firstLineChars="200"/>
        <w:rPr>
          <w:rFonts w:eastAsia="方正黑体_GBK"/>
          <w:color w:val="000000" w:themeColor="text1"/>
          <w:szCs w:val="32"/>
          <w14:textFill>
            <w14:solidFill>
              <w14:schemeClr w14:val="tx1"/>
            </w14:solidFill>
          </w14:textFill>
        </w:rPr>
      </w:pPr>
      <w:r>
        <w:rPr>
          <w:rFonts w:hint="eastAsia" w:eastAsia="方正黑体_GBK"/>
          <w:color w:val="000000" w:themeColor="text1"/>
          <w:szCs w:val="32"/>
          <w14:textFill>
            <w14:solidFill>
              <w14:schemeClr w14:val="tx1"/>
            </w14:solidFill>
          </w14:textFill>
        </w:rPr>
        <w:t>六</w:t>
      </w:r>
      <w:r>
        <w:rPr>
          <w:rFonts w:eastAsia="方正黑体_GBK"/>
          <w:color w:val="000000" w:themeColor="text1"/>
          <w:szCs w:val="32"/>
          <w14:textFill>
            <w14:solidFill>
              <w14:schemeClr w14:val="tx1"/>
            </w14:solidFill>
          </w14:textFill>
        </w:rPr>
        <w:t>、关于房屋认定中有关问题的处理</w:t>
      </w:r>
    </w:p>
    <w:p w14:paraId="35F8FB26">
      <w:pPr>
        <w:spacing w:line="560" w:lineRule="exact"/>
        <w:ind w:firstLine="640" w:firstLineChars="200"/>
        <w:rPr>
          <w:rFonts w:eastAsia="方正仿宋_GBK"/>
          <w:color w:val="000000" w:themeColor="text1"/>
          <w:szCs w:val="32"/>
          <w14:textFill>
            <w14:solidFill>
              <w14:schemeClr w14:val="tx1"/>
            </w14:solidFill>
          </w14:textFill>
        </w:rPr>
      </w:pPr>
      <w:r>
        <w:rPr>
          <w:rFonts w:eastAsia="方正仿宋_GBK"/>
          <w:color w:val="000000" w:themeColor="text1"/>
          <w:szCs w:val="32"/>
          <w14:textFill>
            <w14:solidFill>
              <w14:schemeClr w14:val="tx1"/>
            </w14:solidFill>
          </w14:textFill>
        </w:rPr>
        <w:t>市人民政府办公室组织相关部门</w:t>
      </w:r>
      <w:r>
        <w:rPr>
          <w:rFonts w:hint="eastAsia" w:eastAsia="方正仿宋_GBK"/>
          <w:color w:val="000000" w:themeColor="text1"/>
          <w:szCs w:val="32"/>
          <w14:textFill>
            <w14:solidFill>
              <w14:schemeClr w14:val="tx1"/>
            </w14:solidFill>
          </w14:textFill>
        </w:rPr>
        <w:t>或者委托属地政府</w:t>
      </w:r>
      <w:r>
        <w:rPr>
          <w:rFonts w:eastAsia="方正仿宋_GBK"/>
          <w:color w:val="000000" w:themeColor="text1"/>
          <w:szCs w:val="32"/>
          <w14:textFill>
            <w14:solidFill>
              <w14:schemeClr w14:val="tx1"/>
            </w14:solidFill>
          </w14:textFill>
        </w:rPr>
        <w:t>成立认定处理小组，负责国有土地上房屋征收的认定工作，按照《宜兴市国有土地上房屋征收与补偿实施办法》第十二条及以下规定对房屋所有权人、未经登记建筑、改变房屋用途等情况进行调查、认定和处理。</w:t>
      </w:r>
      <w:r>
        <w:rPr>
          <w:rFonts w:hint="eastAsia" w:eastAsia="方正仿宋_GBK"/>
          <w:color w:val="000000" w:themeColor="text1"/>
          <w:szCs w:val="32"/>
          <w14:textFill>
            <w14:solidFill>
              <w14:schemeClr w14:val="tx1"/>
            </w14:solidFill>
          </w14:textFill>
        </w:rPr>
        <w:t>自规、住建、</w:t>
      </w:r>
      <w:r>
        <w:rPr>
          <w:rFonts w:eastAsia="方正仿宋_GBK"/>
          <w:color w:val="000000" w:themeColor="text1"/>
          <w:szCs w:val="32"/>
          <w14:textFill>
            <w14:solidFill>
              <w14:schemeClr w14:val="tx1"/>
            </w14:solidFill>
          </w14:textFill>
        </w:rPr>
        <w:t>城管等部门及属地政府按照各自的职责，共同做好未经登记建筑的调查、认定和处理工作。</w:t>
      </w:r>
    </w:p>
    <w:p w14:paraId="2BC7C403">
      <w:pPr>
        <w:spacing w:line="560" w:lineRule="exact"/>
        <w:ind w:firstLine="643" w:firstLineChars="200"/>
        <w:rPr>
          <w:rFonts w:eastAsia="方正仿宋_GBK"/>
          <w:b/>
          <w:color w:val="000000" w:themeColor="text1"/>
          <w:szCs w:val="32"/>
          <w14:textFill>
            <w14:solidFill>
              <w14:schemeClr w14:val="tx1"/>
            </w14:solidFill>
          </w14:textFill>
        </w:rPr>
      </w:pPr>
      <w:r>
        <w:rPr>
          <w:rFonts w:eastAsia="方正仿宋_GBK"/>
          <w:b/>
          <w:color w:val="000000" w:themeColor="text1"/>
          <w:szCs w:val="32"/>
          <w14:textFill>
            <w14:solidFill>
              <w14:schemeClr w14:val="tx1"/>
            </w14:solidFill>
          </w14:textFill>
        </w:rPr>
        <w:t>（一）房屋所有权人的认定</w:t>
      </w:r>
    </w:p>
    <w:p w14:paraId="29B76D73">
      <w:pPr>
        <w:spacing w:line="560" w:lineRule="exact"/>
        <w:ind w:firstLine="640" w:firstLineChars="200"/>
        <w:rPr>
          <w:rFonts w:eastAsia="方正仿宋_GBK"/>
          <w:color w:val="000000" w:themeColor="text1"/>
          <w:szCs w:val="32"/>
          <w14:textFill>
            <w14:solidFill>
              <w14:schemeClr w14:val="tx1"/>
            </w14:solidFill>
          </w14:textFill>
        </w:rPr>
      </w:pPr>
      <w:bookmarkStart w:id="0" w:name="_Hlk217916731"/>
      <w:r>
        <w:rPr>
          <w:rFonts w:eastAsia="方正仿宋_GBK"/>
          <w:color w:val="000000" w:themeColor="text1"/>
          <w:szCs w:val="32"/>
          <w14:textFill>
            <w14:solidFill>
              <w14:schemeClr w14:val="tx1"/>
            </w14:solidFill>
          </w14:textFill>
        </w:rPr>
        <w:t>以被征收</w:t>
      </w:r>
      <w:bookmarkStart w:id="1" w:name="_Hlk217916361"/>
      <w:r>
        <w:rPr>
          <w:rFonts w:eastAsia="方正仿宋_GBK"/>
          <w:color w:val="000000" w:themeColor="text1"/>
          <w:szCs w:val="32"/>
          <w14:textFill>
            <w14:solidFill>
              <w14:schemeClr w14:val="tx1"/>
            </w14:solidFill>
          </w14:textFill>
        </w:rPr>
        <w:t>房屋</w:t>
      </w:r>
      <w:bookmarkStart w:id="2" w:name="_Hlk217916509"/>
      <w:r>
        <w:rPr>
          <w:rFonts w:hint="eastAsia" w:eastAsia="方正仿宋_GBK"/>
          <w:color w:val="000000" w:themeColor="text1"/>
          <w:szCs w:val="32"/>
          <w14:textFill>
            <w14:solidFill>
              <w14:schemeClr w14:val="tx1"/>
            </w14:solidFill>
          </w14:textFill>
        </w:rPr>
        <w:t>不动产权证或者房屋</w:t>
      </w:r>
      <w:r>
        <w:rPr>
          <w:rFonts w:eastAsia="方正仿宋_GBK"/>
          <w:color w:val="000000" w:themeColor="text1"/>
          <w:szCs w:val="32"/>
          <w14:textFill>
            <w14:solidFill>
              <w14:schemeClr w14:val="tx1"/>
            </w14:solidFill>
          </w14:textFill>
        </w:rPr>
        <w:t>所有权证</w:t>
      </w:r>
      <w:bookmarkEnd w:id="1"/>
      <w:bookmarkEnd w:id="2"/>
      <w:r>
        <w:rPr>
          <w:rFonts w:eastAsia="方正仿宋_GBK"/>
          <w:color w:val="000000" w:themeColor="text1"/>
          <w:szCs w:val="32"/>
          <w14:textFill>
            <w14:solidFill>
              <w14:schemeClr w14:val="tx1"/>
            </w14:solidFill>
          </w14:textFill>
        </w:rPr>
        <w:t>为依据，认定房屋所有权人；无</w:t>
      </w:r>
      <w:bookmarkStart w:id="3" w:name="_Hlk217916655"/>
      <w:r>
        <w:rPr>
          <w:rFonts w:hint="eastAsia" w:eastAsia="方正仿宋_GBK"/>
          <w:color w:val="000000" w:themeColor="text1"/>
          <w:szCs w:val="32"/>
          <w14:textFill>
            <w14:solidFill>
              <w14:schemeClr w14:val="tx1"/>
            </w14:solidFill>
          </w14:textFill>
        </w:rPr>
        <w:t>房屋</w:t>
      </w:r>
      <w:bookmarkEnd w:id="3"/>
      <w:r>
        <w:rPr>
          <w:rFonts w:hint="eastAsia" w:eastAsia="方正仿宋_GBK"/>
          <w:color w:val="000000" w:themeColor="text1"/>
          <w:szCs w:val="32"/>
          <w14:textFill>
            <w14:solidFill>
              <w14:schemeClr w14:val="tx1"/>
            </w14:solidFill>
          </w14:textFill>
        </w:rPr>
        <w:t>不动产权证或者房屋所有权证</w:t>
      </w:r>
      <w:r>
        <w:rPr>
          <w:rFonts w:eastAsia="方正仿宋_GBK"/>
          <w:color w:val="000000" w:themeColor="text1"/>
          <w:szCs w:val="32"/>
          <w14:textFill>
            <w14:solidFill>
              <w14:schemeClr w14:val="tx1"/>
            </w14:solidFill>
          </w14:textFill>
        </w:rPr>
        <w:t>的，以土地使用证为依据认定房屋所有权人；</w:t>
      </w:r>
      <w:r>
        <w:rPr>
          <w:rFonts w:hint="eastAsia" w:eastAsia="方正仿宋_GBK"/>
          <w:color w:val="000000" w:themeColor="text1"/>
          <w:szCs w:val="32"/>
          <w14:textFill>
            <w14:solidFill>
              <w14:schemeClr w14:val="tx1"/>
            </w14:solidFill>
          </w14:textFill>
        </w:rPr>
        <w:t>以上手续</w:t>
      </w:r>
      <w:r>
        <w:rPr>
          <w:rFonts w:eastAsia="方正仿宋_GBK"/>
          <w:color w:val="000000" w:themeColor="text1"/>
          <w:szCs w:val="32"/>
          <w14:textFill>
            <w14:solidFill>
              <w14:schemeClr w14:val="tx1"/>
            </w14:solidFill>
          </w14:textFill>
        </w:rPr>
        <w:t>均无但有合法建房批准手续的，以批准手续为依据认定房屋所有权人；</w:t>
      </w:r>
      <w:r>
        <w:rPr>
          <w:rFonts w:hint="eastAsia" w:eastAsia="方正仿宋_GBK"/>
          <w:color w:val="000000" w:themeColor="text1"/>
          <w:szCs w:val="32"/>
          <w14:textFill>
            <w14:solidFill>
              <w14:schemeClr w14:val="tx1"/>
            </w14:solidFill>
          </w14:textFill>
        </w:rPr>
        <w:t>以上手续</w:t>
      </w:r>
      <w:r>
        <w:rPr>
          <w:rFonts w:eastAsia="方正仿宋_GBK"/>
          <w:color w:val="000000" w:themeColor="text1"/>
          <w:szCs w:val="32"/>
          <w14:textFill>
            <w14:solidFill>
              <w14:schemeClr w14:val="tx1"/>
            </w14:solidFill>
          </w14:textFill>
        </w:rPr>
        <w:t>均无且无合法建房批准手续的由认定处理小组审核确认。</w:t>
      </w:r>
    </w:p>
    <w:bookmarkEnd w:id="0"/>
    <w:p w14:paraId="7CEE9DC1">
      <w:pPr>
        <w:spacing w:line="560" w:lineRule="exact"/>
        <w:ind w:firstLine="643" w:firstLineChars="200"/>
        <w:rPr>
          <w:rFonts w:eastAsia="方正仿宋_GBK"/>
          <w:b/>
          <w:color w:val="000000" w:themeColor="text1"/>
          <w:szCs w:val="32"/>
          <w14:textFill>
            <w14:solidFill>
              <w14:schemeClr w14:val="tx1"/>
            </w14:solidFill>
          </w14:textFill>
        </w:rPr>
      </w:pPr>
      <w:r>
        <w:rPr>
          <w:rFonts w:eastAsia="方正仿宋_GBK"/>
          <w:b/>
          <w:color w:val="000000" w:themeColor="text1"/>
          <w:szCs w:val="32"/>
          <w14:textFill>
            <w14:solidFill>
              <w14:schemeClr w14:val="tx1"/>
            </w14:solidFill>
          </w14:textFill>
        </w:rPr>
        <w:t>（二）计户规则</w:t>
      </w:r>
    </w:p>
    <w:p w14:paraId="6926F22B">
      <w:pPr>
        <w:spacing w:line="560" w:lineRule="exact"/>
        <w:ind w:firstLine="640" w:firstLineChars="200"/>
        <w:rPr>
          <w:rFonts w:eastAsia="方正仿宋_GBK"/>
          <w:color w:val="000000" w:themeColor="text1"/>
          <w:szCs w:val="32"/>
          <w14:textFill>
            <w14:solidFill>
              <w14:schemeClr w14:val="tx1"/>
            </w14:solidFill>
          </w14:textFill>
        </w:rPr>
      </w:pPr>
      <w:r>
        <w:rPr>
          <w:rFonts w:eastAsia="方正仿宋_GBK"/>
          <w:color w:val="000000" w:themeColor="text1"/>
          <w:szCs w:val="32"/>
          <w14:textFill>
            <w14:solidFill>
              <w14:schemeClr w14:val="tx1"/>
            </w14:solidFill>
          </w14:textFill>
        </w:rPr>
        <w:t>以被征收房屋</w:t>
      </w:r>
      <w:bookmarkStart w:id="4" w:name="_Hlk217916611"/>
      <w:r>
        <w:rPr>
          <w:rFonts w:hint="eastAsia" w:eastAsia="方正仿宋_GBK"/>
          <w:color w:val="000000" w:themeColor="text1"/>
          <w:szCs w:val="32"/>
          <w14:textFill>
            <w14:solidFill>
              <w14:schemeClr w14:val="tx1"/>
            </w14:solidFill>
          </w14:textFill>
        </w:rPr>
        <w:t>不动产权证或者房屋所有权证</w:t>
      </w:r>
      <w:bookmarkEnd w:id="4"/>
      <w:r>
        <w:rPr>
          <w:rFonts w:eastAsia="方正仿宋_GBK"/>
          <w:color w:val="000000" w:themeColor="text1"/>
          <w:szCs w:val="32"/>
          <w14:textFill>
            <w14:solidFill>
              <w14:schemeClr w14:val="tx1"/>
            </w14:solidFill>
          </w14:textFill>
        </w:rPr>
        <w:t>为计户依据，并执行</w:t>
      </w:r>
      <w:r>
        <w:rPr>
          <w:rFonts w:hint="eastAsia"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以一证按一户进行补偿安置</w:t>
      </w:r>
      <w:r>
        <w:rPr>
          <w:rFonts w:hint="eastAsia"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的政策。</w:t>
      </w:r>
    </w:p>
    <w:p w14:paraId="16253B9B">
      <w:pPr>
        <w:spacing w:line="560" w:lineRule="exact"/>
        <w:ind w:firstLine="640" w:firstLineChars="200"/>
        <w:rPr>
          <w:rFonts w:eastAsia="方正仿宋_GBK"/>
          <w:color w:val="000000" w:themeColor="text1"/>
          <w:szCs w:val="32"/>
          <w14:textFill>
            <w14:solidFill>
              <w14:schemeClr w14:val="tx1"/>
            </w14:solidFill>
          </w14:textFill>
        </w:rPr>
      </w:pPr>
      <w:r>
        <w:rPr>
          <w:rFonts w:hint="eastAsia" w:eastAsia="方正仿宋_GBK"/>
          <w:color w:val="000000" w:themeColor="text1"/>
          <w:szCs w:val="32"/>
          <w14:textFill>
            <w14:solidFill>
              <w14:schemeClr w14:val="tx1"/>
            </w14:solidFill>
          </w14:textFill>
        </w:rPr>
        <w:t>不动产权证或者房屋所有权证</w:t>
      </w:r>
      <w:r>
        <w:rPr>
          <w:rFonts w:eastAsia="方正仿宋_GBK"/>
          <w:color w:val="000000" w:themeColor="text1"/>
          <w:szCs w:val="32"/>
          <w14:textFill>
            <w14:solidFill>
              <w14:schemeClr w14:val="tx1"/>
            </w14:solidFill>
          </w14:textFill>
        </w:rPr>
        <w:t>载明独有的，则作为单独所有，按一户进行补偿安置</w:t>
      </w:r>
      <w:r>
        <w:rPr>
          <w:rFonts w:hint="eastAsia" w:eastAsia="方正仿宋_GBK"/>
          <w:color w:val="000000" w:themeColor="text1"/>
          <w:szCs w:val="32"/>
          <w14:textFill>
            <w14:solidFill>
              <w14:schemeClr w14:val="tx1"/>
            </w14:solidFill>
          </w14:textFill>
        </w:rPr>
        <w:t>；</w:t>
      </w:r>
      <w:bookmarkStart w:id="5" w:name="_Hlk217916673"/>
      <w:r>
        <w:rPr>
          <w:rFonts w:hint="eastAsia" w:eastAsia="方正仿宋_GBK"/>
          <w:color w:val="000000" w:themeColor="text1"/>
          <w:szCs w:val="32"/>
          <w14:textFill>
            <w14:solidFill>
              <w14:schemeClr w14:val="tx1"/>
            </w14:solidFill>
          </w14:textFill>
        </w:rPr>
        <w:t>不动产权证或者房屋所有权证</w:t>
      </w:r>
      <w:bookmarkEnd w:id="5"/>
      <w:r>
        <w:rPr>
          <w:rFonts w:eastAsia="方正仿宋_GBK"/>
          <w:color w:val="000000" w:themeColor="text1"/>
          <w:szCs w:val="32"/>
          <w14:textFill>
            <w14:solidFill>
              <w14:schemeClr w14:val="tx1"/>
            </w14:solidFill>
          </w14:textFill>
        </w:rPr>
        <w:t>中载明为共同共有或按份共有的，因其属一个产权的组成部分，故对全体共有人按一户进行补偿安置，共有人的内部分配问题由其自行协商处理</w:t>
      </w:r>
      <w:r>
        <w:rPr>
          <w:rFonts w:hint="eastAsia"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无</w:t>
      </w:r>
      <w:r>
        <w:rPr>
          <w:rFonts w:hint="eastAsia" w:eastAsia="方正仿宋_GBK"/>
          <w:color w:val="000000" w:themeColor="text1"/>
          <w:szCs w:val="32"/>
          <w14:textFill>
            <w14:solidFill>
              <w14:schemeClr w14:val="tx1"/>
            </w14:solidFill>
          </w14:textFill>
        </w:rPr>
        <w:t>不动产权证或者房屋所有权证</w:t>
      </w:r>
      <w:r>
        <w:rPr>
          <w:rFonts w:eastAsia="方正仿宋_GBK"/>
          <w:color w:val="000000" w:themeColor="text1"/>
          <w:szCs w:val="32"/>
          <w14:textFill>
            <w14:solidFill>
              <w14:schemeClr w14:val="tx1"/>
            </w14:solidFill>
          </w14:textFill>
        </w:rPr>
        <w:t>的，以土地使用证为计户依据；</w:t>
      </w:r>
      <w:r>
        <w:rPr>
          <w:rFonts w:hint="eastAsia" w:eastAsia="方正仿宋_GBK"/>
          <w:color w:val="000000" w:themeColor="text1"/>
          <w:szCs w:val="32"/>
          <w14:textFill>
            <w14:solidFill>
              <w14:schemeClr w14:val="tx1"/>
            </w14:solidFill>
          </w14:textFill>
        </w:rPr>
        <w:t>以上手续</w:t>
      </w:r>
      <w:r>
        <w:rPr>
          <w:rFonts w:eastAsia="方正仿宋_GBK"/>
          <w:color w:val="000000" w:themeColor="text1"/>
          <w:szCs w:val="32"/>
          <w14:textFill>
            <w14:solidFill>
              <w14:schemeClr w14:val="tx1"/>
            </w14:solidFill>
          </w14:textFill>
        </w:rPr>
        <w:t>全无的，以建设工程规划许可证或建房批复为计户依据</w:t>
      </w:r>
      <w:r>
        <w:rPr>
          <w:rFonts w:hint="eastAsia"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无任何合法批准手续，但经认定为合法建筑的，以户口簿为计户依据。</w:t>
      </w:r>
    </w:p>
    <w:p w14:paraId="2D6C76F0">
      <w:pPr>
        <w:spacing w:line="560" w:lineRule="exact"/>
        <w:ind w:firstLine="640" w:firstLineChars="200"/>
        <w:rPr>
          <w:rFonts w:eastAsia="方正仿宋_GBK"/>
          <w:color w:val="000000" w:themeColor="text1"/>
          <w:szCs w:val="32"/>
          <w14:textFill>
            <w14:solidFill>
              <w14:schemeClr w14:val="tx1"/>
            </w14:solidFill>
          </w14:textFill>
        </w:rPr>
      </w:pPr>
      <w:r>
        <w:rPr>
          <w:rFonts w:eastAsia="方正仿宋_GBK"/>
          <w:color w:val="000000" w:themeColor="text1"/>
          <w:szCs w:val="32"/>
          <w14:textFill>
            <w14:solidFill>
              <w14:schemeClr w14:val="tx1"/>
            </w14:solidFill>
          </w14:textFill>
        </w:rPr>
        <w:t>经认定为违法建筑的房屋，不计户数。</w:t>
      </w:r>
    </w:p>
    <w:p w14:paraId="351B8F8F">
      <w:pPr>
        <w:spacing w:line="560" w:lineRule="exact"/>
        <w:ind w:firstLine="643" w:firstLineChars="200"/>
        <w:rPr>
          <w:rFonts w:eastAsia="方正仿宋_GBK"/>
          <w:b/>
          <w:color w:val="000000" w:themeColor="text1"/>
          <w:szCs w:val="32"/>
          <w14:textFill>
            <w14:solidFill>
              <w14:schemeClr w14:val="tx1"/>
            </w14:solidFill>
          </w14:textFill>
        </w:rPr>
      </w:pPr>
      <w:r>
        <w:rPr>
          <w:rFonts w:eastAsia="方正仿宋_GBK"/>
          <w:b/>
          <w:color w:val="000000" w:themeColor="text1"/>
          <w:szCs w:val="32"/>
          <w14:textFill>
            <w14:solidFill>
              <w14:schemeClr w14:val="tx1"/>
            </w14:solidFill>
          </w14:textFill>
        </w:rPr>
        <w:t>（三）有关面积的认定和处理</w:t>
      </w:r>
    </w:p>
    <w:p w14:paraId="7D5F2787">
      <w:pPr>
        <w:spacing w:line="560" w:lineRule="exact"/>
        <w:ind w:firstLine="640" w:firstLineChars="200"/>
        <w:rPr>
          <w:rFonts w:eastAsia="方正仿宋_GBK"/>
          <w:b/>
          <w:bCs/>
          <w:color w:val="000000" w:themeColor="text1"/>
          <w:szCs w:val="32"/>
          <w14:textFill>
            <w14:solidFill>
              <w14:schemeClr w14:val="tx1"/>
            </w14:solidFill>
          </w14:textFill>
        </w:rPr>
      </w:pPr>
      <w:r>
        <w:rPr>
          <w:rFonts w:eastAsia="方正仿宋_GBK"/>
          <w:color w:val="000000" w:themeColor="text1"/>
          <w:szCs w:val="32"/>
          <w14:textFill>
            <w14:solidFill>
              <w14:schemeClr w14:val="tx1"/>
            </w14:solidFill>
          </w14:textFill>
        </w:rPr>
        <w:t>1</w:t>
      </w:r>
      <w:r>
        <w:rPr>
          <w:rFonts w:hint="eastAsia" w:eastAsia="方正仿宋_GBK"/>
          <w:color w:val="000000" w:themeColor="text1"/>
          <w:szCs w:val="32"/>
          <w14:textFill>
            <w14:solidFill>
              <w14:schemeClr w14:val="tx1"/>
            </w14:solidFill>
          </w14:textFill>
        </w:rPr>
        <w:t>.房屋面积</w:t>
      </w:r>
      <w:r>
        <w:rPr>
          <w:rFonts w:eastAsia="方正仿宋_GBK"/>
          <w:color w:val="000000" w:themeColor="text1"/>
          <w:szCs w:val="32"/>
          <w14:textFill>
            <w14:solidFill>
              <w14:schemeClr w14:val="tx1"/>
            </w14:solidFill>
          </w14:textFill>
        </w:rPr>
        <w:t>以被征收</w:t>
      </w:r>
      <w:bookmarkStart w:id="6" w:name="_Hlk217916889"/>
      <w:r>
        <w:rPr>
          <w:rFonts w:eastAsia="方正仿宋_GBK"/>
          <w:color w:val="000000" w:themeColor="text1"/>
          <w:szCs w:val="32"/>
          <w14:textFill>
            <w14:solidFill>
              <w14:schemeClr w14:val="tx1"/>
            </w14:solidFill>
          </w14:textFill>
        </w:rPr>
        <w:t>房屋</w:t>
      </w:r>
      <w:r>
        <w:rPr>
          <w:rFonts w:hint="eastAsia" w:eastAsia="方正仿宋_GBK"/>
          <w:color w:val="000000" w:themeColor="text1"/>
          <w:szCs w:val="32"/>
          <w14:textFill>
            <w14:solidFill>
              <w14:schemeClr w14:val="tx1"/>
            </w14:solidFill>
          </w14:textFill>
        </w:rPr>
        <w:t>不动产权证或者房屋</w:t>
      </w:r>
      <w:r>
        <w:rPr>
          <w:rFonts w:eastAsia="方正仿宋_GBK"/>
          <w:color w:val="000000" w:themeColor="text1"/>
          <w:szCs w:val="32"/>
          <w14:textFill>
            <w14:solidFill>
              <w14:schemeClr w14:val="tx1"/>
            </w14:solidFill>
          </w14:textFill>
        </w:rPr>
        <w:t>所有权证</w:t>
      </w:r>
      <w:bookmarkEnd w:id="6"/>
      <w:r>
        <w:rPr>
          <w:rFonts w:eastAsia="方正仿宋_GBK"/>
          <w:color w:val="000000" w:themeColor="text1"/>
          <w:szCs w:val="32"/>
          <w14:textFill>
            <w14:solidFill>
              <w14:schemeClr w14:val="tx1"/>
            </w14:solidFill>
          </w14:textFill>
        </w:rPr>
        <w:t>为依据；不动产权证或者房屋所有权证均无但有合法建房批准手续的，以批准手续为依据；</w:t>
      </w:r>
      <w:r>
        <w:rPr>
          <w:rFonts w:hint="eastAsia" w:eastAsia="方正仿宋_GBK"/>
          <w:color w:val="000000" w:themeColor="text1"/>
          <w:szCs w:val="32"/>
          <w14:textFill>
            <w14:solidFill>
              <w14:schemeClr w14:val="tx1"/>
            </w14:solidFill>
          </w14:textFill>
        </w:rPr>
        <w:t>以上手续</w:t>
      </w:r>
      <w:r>
        <w:rPr>
          <w:rFonts w:eastAsia="方正仿宋_GBK"/>
          <w:color w:val="000000" w:themeColor="text1"/>
          <w:szCs w:val="32"/>
          <w14:textFill>
            <w14:solidFill>
              <w14:schemeClr w14:val="tx1"/>
            </w14:solidFill>
          </w14:textFill>
        </w:rPr>
        <w:t>均无且无合法建房批准手续的由认定处理小组审核确认。</w:t>
      </w:r>
    </w:p>
    <w:p w14:paraId="467C6A4B">
      <w:pPr>
        <w:spacing w:line="560" w:lineRule="exact"/>
        <w:ind w:firstLine="640" w:firstLineChars="200"/>
        <w:rPr>
          <w:rFonts w:eastAsia="方正仿宋_GBK"/>
          <w:color w:val="000000" w:themeColor="text1"/>
          <w:szCs w:val="32"/>
          <w14:textFill>
            <w14:solidFill>
              <w14:schemeClr w14:val="tx1"/>
            </w14:solidFill>
          </w14:textFill>
        </w:rPr>
      </w:pPr>
      <w:r>
        <w:rPr>
          <w:rFonts w:eastAsia="方正仿宋_GBK"/>
          <w:color w:val="000000" w:themeColor="text1"/>
          <w:szCs w:val="32"/>
          <w14:textFill>
            <w14:solidFill>
              <w14:schemeClr w14:val="tx1"/>
            </w14:solidFill>
          </w14:textFill>
        </w:rPr>
        <w:t>2</w:t>
      </w:r>
      <w:r>
        <w:rPr>
          <w:rFonts w:hint="eastAsia" w:eastAsia="方正仿宋_GBK"/>
          <w:color w:val="000000" w:themeColor="text1"/>
          <w:szCs w:val="32"/>
          <w14:textFill>
            <w14:solidFill>
              <w14:schemeClr w14:val="tx1"/>
            </w14:solidFill>
          </w14:textFill>
        </w:rPr>
        <w:t>.未</w:t>
      </w:r>
      <w:r>
        <w:rPr>
          <w:rFonts w:eastAsia="方正仿宋_GBK"/>
          <w:color w:val="000000" w:themeColor="text1"/>
          <w:szCs w:val="32"/>
          <w14:textFill>
            <w14:solidFill>
              <w14:schemeClr w14:val="tx1"/>
            </w14:solidFill>
          </w14:textFill>
        </w:rPr>
        <w:t>经登记的建筑有下列情形之一的，由认定处理小组对当事人提供的相关资料进行审核，符合相关法律、法规、规章规定的，可认定其为合法，并出具认定意见：</w:t>
      </w:r>
    </w:p>
    <w:p w14:paraId="2E0689A7">
      <w:pPr>
        <w:spacing w:line="560" w:lineRule="exact"/>
        <w:ind w:firstLine="640" w:firstLineChars="200"/>
        <w:rPr>
          <w:rFonts w:eastAsia="方正仿宋_GBK"/>
          <w:color w:val="000000" w:themeColor="text1"/>
          <w:szCs w:val="32"/>
          <w14:textFill>
            <w14:solidFill>
              <w14:schemeClr w14:val="tx1"/>
            </w14:solidFill>
          </w14:textFill>
        </w:rPr>
      </w:pPr>
      <w:r>
        <w:rPr>
          <w:rFonts w:hint="eastAsia" w:eastAsia="方正仿宋_GBK"/>
          <w:color w:val="000000" w:themeColor="text1"/>
          <w:szCs w:val="32"/>
          <w14:textFill>
            <w14:solidFill>
              <w14:schemeClr w14:val="tx1"/>
            </w14:solidFill>
          </w14:textFill>
        </w:rPr>
        <w:t>（1）</w:t>
      </w:r>
      <w:r>
        <w:rPr>
          <w:rFonts w:eastAsia="方正仿宋_GBK"/>
          <w:color w:val="000000" w:themeColor="text1"/>
          <w:szCs w:val="32"/>
          <w14:textFill>
            <w14:solidFill>
              <w14:schemeClr w14:val="tx1"/>
            </w14:solidFill>
          </w14:textFill>
        </w:rPr>
        <w:t>无</w:t>
      </w:r>
      <w:r>
        <w:rPr>
          <w:rFonts w:hint="eastAsia" w:eastAsia="方正仿宋_GBK"/>
          <w:color w:val="000000" w:themeColor="text1"/>
          <w:szCs w:val="32"/>
          <w14:textFill>
            <w14:solidFill>
              <w14:schemeClr w14:val="tx1"/>
            </w14:solidFill>
          </w14:textFill>
        </w:rPr>
        <w:t>不动产权证或者房屋</w:t>
      </w:r>
      <w:r>
        <w:rPr>
          <w:rFonts w:eastAsia="方正仿宋_GBK"/>
          <w:color w:val="000000" w:themeColor="text1"/>
          <w:szCs w:val="32"/>
          <w14:textFill>
            <w14:solidFill>
              <w14:schemeClr w14:val="tx1"/>
            </w14:solidFill>
          </w14:textFill>
        </w:rPr>
        <w:t>所有权证，但有建设工程规划许可证或建房批复的，按建设工程规划许可证或建房批复记载的建筑面积予以认定；</w:t>
      </w:r>
    </w:p>
    <w:p w14:paraId="4BDB8D4E">
      <w:pPr>
        <w:spacing w:line="560" w:lineRule="exact"/>
        <w:ind w:firstLine="640" w:firstLineChars="200"/>
        <w:rPr>
          <w:rFonts w:eastAsia="方正仿宋_GBK"/>
          <w:color w:val="000000" w:themeColor="text1"/>
          <w:szCs w:val="32"/>
          <w14:textFill>
            <w14:solidFill>
              <w14:schemeClr w14:val="tx1"/>
            </w14:solidFill>
          </w14:textFill>
        </w:rPr>
      </w:pPr>
      <w:r>
        <w:rPr>
          <w:rFonts w:hint="eastAsia" w:eastAsia="方正仿宋_GBK"/>
          <w:color w:val="000000" w:themeColor="text1"/>
          <w:szCs w:val="32"/>
          <w14:textFill>
            <w14:solidFill>
              <w14:schemeClr w14:val="tx1"/>
            </w14:solidFill>
          </w14:textFill>
        </w:rPr>
        <w:t>（2）</w:t>
      </w:r>
      <w:r>
        <w:rPr>
          <w:rFonts w:eastAsia="方正仿宋_GBK"/>
          <w:color w:val="000000" w:themeColor="text1"/>
          <w:szCs w:val="32"/>
          <w14:textFill>
            <w14:solidFill>
              <w14:schemeClr w14:val="tx1"/>
            </w14:solidFill>
          </w14:textFill>
        </w:rPr>
        <w:t>实际建筑面积小于批建面积的按实际建筑面积认定；</w:t>
      </w:r>
    </w:p>
    <w:p w14:paraId="40C8C7AC">
      <w:pPr>
        <w:spacing w:line="560" w:lineRule="exact"/>
        <w:ind w:firstLine="640" w:firstLineChars="200"/>
        <w:rPr>
          <w:rFonts w:eastAsia="方正仿宋_GBK"/>
          <w:color w:val="000000" w:themeColor="text1"/>
          <w:szCs w:val="32"/>
          <w14:textFill>
            <w14:solidFill>
              <w14:schemeClr w14:val="tx1"/>
            </w14:solidFill>
          </w14:textFill>
        </w:rPr>
      </w:pPr>
      <w:r>
        <w:rPr>
          <w:rFonts w:hint="eastAsia" w:eastAsia="方正仿宋_GBK"/>
          <w:color w:val="000000" w:themeColor="text1"/>
          <w:szCs w:val="32"/>
          <w14:textFill>
            <w14:solidFill>
              <w14:schemeClr w14:val="tx1"/>
            </w14:solidFill>
          </w14:textFill>
        </w:rPr>
        <w:t>（3）</w:t>
      </w:r>
      <w:r>
        <w:rPr>
          <w:rFonts w:eastAsia="方正仿宋_GBK"/>
          <w:color w:val="000000" w:themeColor="text1"/>
          <w:szCs w:val="32"/>
          <w14:textFill>
            <w14:solidFill>
              <w14:schemeClr w14:val="tx1"/>
            </w14:solidFill>
          </w14:textFill>
        </w:rPr>
        <w:t>建房批复中未记载建筑面积或无建房批复的</w:t>
      </w:r>
      <w:r>
        <w:rPr>
          <w:rFonts w:hint="eastAsia"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根据具体情况认定。</w:t>
      </w:r>
    </w:p>
    <w:p w14:paraId="71A0DF42">
      <w:pPr>
        <w:spacing w:line="560" w:lineRule="exact"/>
        <w:ind w:firstLine="640" w:firstLineChars="200"/>
        <w:rPr>
          <w:rFonts w:eastAsia="方正仿宋_GBK"/>
          <w:color w:val="000000" w:themeColor="text1"/>
          <w:szCs w:val="32"/>
          <w14:textFill>
            <w14:solidFill>
              <w14:schemeClr w14:val="tx1"/>
            </w14:solidFill>
          </w14:textFill>
        </w:rPr>
      </w:pPr>
      <w:r>
        <w:rPr>
          <w:rFonts w:eastAsia="方正仿宋_GBK"/>
          <w:color w:val="000000" w:themeColor="text1"/>
          <w:szCs w:val="32"/>
          <w14:textFill>
            <w14:solidFill>
              <w14:schemeClr w14:val="tx1"/>
            </w14:solidFill>
          </w14:textFill>
        </w:rPr>
        <w:t>3</w:t>
      </w:r>
      <w:r>
        <w:rPr>
          <w:rFonts w:hint="eastAsia" w:eastAsia="方正仿宋_GBK"/>
          <w:color w:val="000000" w:themeColor="text1"/>
          <w:szCs w:val="32"/>
          <w14:textFill>
            <w14:solidFill>
              <w14:schemeClr w14:val="tx1"/>
            </w14:solidFill>
          </w14:textFill>
        </w:rPr>
        <w:t>.当</w:t>
      </w:r>
      <w:r>
        <w:rPr>
          <w:rFonts w:eastAsia="方正仿宋_GBK"/>
          <w:color w:val="000000" w:themeColor="text1"/>
          <w:szCs w:val="32"/>
          <w14:textFill>
            <w14:solidFill>
              <w14:schemeClr w14:val="tx1"/>
            </w14:solidFill>
          </w14:textFill>
        </w:rPr>
        <w:t>事人对被征收房屋面积有异议的，由认定处理小组审核。</w:t>
      </w:r>
    </w:p>
    <w:p w14:paraId="43A1D5A5">
      <w:pPr>
        <w:spacing w:line="560" w:lineRule="exact"/>
        <w:ind w:firstLine="643" w:firstLineChars="200"/>
        <w:rPr>
          <w:rFonts w:eastAsia="方正仿宋_GBK"/>
          <w:b/>
          <w:color w:val="000000" w:themeColor="text1"/>
          <w:szCs w:val="32"/>
          <w14:textFill>
            <w14:solidFill>
              <w14:schemeClr w14:val="tx1"/>
            </w14:solidFill>
          </w14:textFill>
        </w:rPr>
      </w:pPr>
      <w:r>
        <w:rPr>
          <w:rFonts w:eastAsia="方正仿宋_GBK"/>
          <w:b/>
          <w:color w:val="000000" w:themeColor="text1"/>
          <w:szCs w:val="32"/>
          <w14:textFill>
            <w14:solidFill>
              <w14:schemeClr w14:val="tx1"/>
            </w14:solidFill>
          </w14:textFill>
        </w:rPr>
        <w:t>（四）改变房屋用途的认定和处理</w:t>
      </w:r>
    </w:p>
    <w:p w14:paraId="328DFFB9">
      <w:pPr>
        <w:spacing w:line="560" w:lineRule="exact"/>
        <w:ind w:firstLine="640" w:firstLineChars="200"/>
        <w:rPr>
          <w:rFonts w:eastAsia="方正仿宋_GBK"/>
          <w:color w:val="000000" w:themeColor="text1"/>
          <w:szCs w:val="32"/>
          <w14:textFill>
            <w14:solidFill>
              <w14:schemeClr w14:val="tx1"/>
            </w14:solidFill>
          </w14:textFill>
        </w:rPr>
      </w:pPr>
      <w:r>
        <w:rPr>
          <w:rFonts w:eastAsia="方正仿宋_GBK"/>
          <w:color w:val="000000" w:themeColor="text1"/>
          <w:szCs w:val="32"/>
          <w14:textFill>
            <w14:solidFill>
              <w14:schemeClr w14:val="tx1"/>
            </w14:solidFill>
          </w14:textFill>
        </w:rPr>
        <w:t>1</w:t>
      </w:r>
      <w:r>
        <w:rPr>
          <w:rFonts w:hint="eastAsia" w:eastAsia="方正仿宋_GBK"/>
          <w:color w:val="000000" w:themeColor="text1"/>
          <w:szCs w:val="32"/>
          <w14:textFill>
            <w14:solidFill>
              <w14:schemeClr w14:val="tx1"/>
            </w14:solidFill>
          </w14:textFill>
        </w:rPr>
        <w:t>.住</w:t>
      </w:r>
      <w:r>
        <w:rPr>
          <w:rFonts w:eastAsia="方正仿宋_GBK"/>
          <w:color w:val="000000" w:themeColor="text1"/>
          <w:szCs w:val="32"/>
          <w14:textFill>
            <w14:solidFill>
              <w14:schemeClr w14:val="tx1"/>
            </w14:solidFill>
          </w14:textFill>
        </w:rPr>
        <w:t>宅改作营业用房的认定按照《宜兴市国有土地上房屋征收评估实施细则》（以下简称《评估细则》）第二十四条规定执行，并根据实际经营面积按照原有产权用途评估价格的一定比例给予增加补偿，但不安置营业用房，只安置住宅类房屋。</w:t>
      </w:r>
    </w:p>
    <w:p w14:paraId="0C981B73">
      <w:pPr>
        <w:spacing w:line="560" w:lineRule="exact"/>
        <w:ind w:firstLine="640" w:firstLineChars="200"/>
        <w:rPr>
          <w:rFonts w:eastAsia="方正仿宋_GBK"/>
          <w:color w:val="000000" w:themeColor="text1"/>
          <w:szCs w:val="32"/>
          <w14:textFill>
            <w14:solidFill>
              <w14:schemeClr w14:val="tx1"/>
            </w14:solidFill>
          </w14:textFill>
        </w:rPr>
      </w:pPr>
      <w:r>
        <w:rPr>
          <w:rFonts w:eastAsia="方正仿宋_GBK"/>
          <w:color w:val="000000" w:themeColor="text1"/>
          <w:szCs w:val="32"/>
          <w14:textFill>
            <w14:solidFill>
              <w14:schemeClr w14:val="tx1"/>
            </w14:solidFill>
          </w14:textFill>
        </w:rPr>
        <w:t>实际经营面积按照下列方法计算：</w:t>
      </w:r>
    </w:p>
    <w:p w14:paraId="4261C9F1">
      <w:pPr>
        <w:spacing w:line="560" w:lineRule="exact"/>
        <w:ind w:firstLine="640" w:firstLineChars="200"/>
        <w:rPr>
          <w:rFonts w:eastAsia="方正仿宋_GBK"/>
          <w:color w:val="000000" w:themeColor="text1"/>
          <w:szCs w:val="32"/>
          <w14:textFill>
            <w14:solidFill>
              <w14:schemeClr w14:val="tx1"/>
            </w14:solidFill>
          </w14:textFill>
        </w:rPr>
      </w:pPr>
      <w:r>
        <w:rPr>
          <w:rFonts w:hint="eastAsia" w:eastAsia="方正仿宋_GBK"/>
          <w:color w:val="000000" w:themeColor="text1"/>
          <w:szCs w:val="32"/>
          <w14:textFill>
            <w14:solidFill>
              <w14:schemeClr w14:val="tx1"/>
            </w14:solidFill>
          </w14:textFill>
        </w:rPr>
        <w:t>（1）</w:t>
      </w:r>
      <w:r>
        <w:rPr>
          <w:rFonts w:eastAsia="方正仿宋_GBK"/>
          <w:color w:val="000000" w:themeColor="text1"/>
          <w:szCs w:val="32"/>
          <w14:textFill>
            <w14:solidFill>
              <w14:schemeClr w14:val="tx1"/>
            </w14:solidFill>
          </w14:textFill>
        </w:rPr>
        <w:t>营业执照载明为个体零售、小吃或维修行业的，按实际测绘的经营建筑面积确定；</w:t>
      </w:r>
    </w:p>
    <w:p w14:paraId="3C8D011C">
      <w:pPr>
        <w:spacing w:line="560" w:lineRule="exact"/>
        <w:ind w:firstLine="640" w:firstLineChars="200"/>
        <w:rPr>
          <w:rFonts w:eastAsia="方正仿宋_GBK"/>
          <w:b/>
          <w:bCs/>
          <w:color w:val="000000" w:themeColor="text1"/>
          <w:szCs w:val="32"/>
          <w14:textFill>
            <w14:solidFill>
              <w14:schemeClr w14:val="tx1"/>
            </w14:solidFill>
          </w14:textFill>
        </w:rPr>
      </w:pPr>
      <w:r>
        <w:rPr>
          <w:rFonts w:hint="eastAsia" w:eastAsia="方正仿宋_GBK"/>
          <w:color w:val="000000" w:themeColor="text1"/>
          <w:szCs w:val="32"/>
          <w14:textFill>
            <w14:solidFill>
              <w14:schemeClr w14:val="tx1"/>
            </w14:solidFill>
          </w14:textFill>
        </w:rPr>
        <w:t>（2）</w:t>
      </w:r>
      <w:r>
        <w:rPr>
          <w:rFonts w:eastAsia="方正仿宋_GBK"/>
          <w:color w:val="000000" w:themeColor="text1"/>
          <w:szCs w:val="32"/>
          <w14:textFill>
            <w14:solidFill>
              <w14:schemeClr w14:val="tx1"/>
            </w14:solidFill>
          </w14:textFill>
        </w:rPr>
        <w:t>营业执照载明为商业、金融保险业、娱乐业、餐饮业、服务业等用房的，其经营面积按以下办法计算：一层直接用于经营的门厅的面积按100%计算；一层除门厅以外用于经营的面积按60%计算；二层以上用于经营的面积按楼层进行适当调整，其中二层按50%计算、三层以上（含三层）按不大于45%计算。</w:t>
      </w:r>
    </w:p>
    <w:p w14:paraId="087071DB">
      <w:pPr>
        <w:spacing w:line="560" w:lineRule="exact"/>
        <w:ind w:firstLine="640" w:firstLineChars="200"/>
        <w:rPr>
          <w:rFonts w:eastAsia="方正仿宋_GBK"/>
          <w:color w:val="000000" w:themeColor="text1"/>
          <w:szCs w:val="32"/>
          <w14:textFill>
            <w14:solidFill>
              <w14:schemeClr w14:val="tx1"/>
            </w14:solidFill>
          </w14:textFill>
        </w:rPr>
      </w:pPr>
      <w:r>
        <w:rPr>
          <w:rFonts w:hint="eastAsia" w:eastAsia="方正仿宋_GBK"/>
          <w:color w:val="000000" w:themeColor="text1"/>
          <w:szCs w:val="32"/>
          <w14:textFill>
            <w14:solidFill>
              <w14:schemeClr w14:val="tx1"/>
            </w14:solidFill>
          </w14:textFill>
        </w:rPr>
        <w:t>（3）</w:t>
      </w:r>
      <w:r>
        <w:rPr>
          <w:rFonts w:eastAsia="方正仿宋_GBK"/>
          <w:color w:val="000000" w:themeColor="text1"/>
          <w:szCs w:val="32"/>
          <w14:textFill>
            <w14:solidFill>
              <w14:schemeClr w14:val="tx1"/>
            </w14:solidFill>
          </w14:textFill>
        </w:rPr>
        <w:t>计算后的经营面积经现场公示7日，无异议或异议不成立后才能予以确定。</w:t>
      </w:r>
    </w:p>
    <w:p w14:paraId="5CCC9A80">
      <w:pPr>
        <w:spacing w:line="560" w:lineRule="exact"/>
        <w:ind w:firstLine="640" w:firstLineChars="200"/>
        <w:rPr>
          <w:rFonts w:eastAsia="方正仿宋_GBK"/>
          <w:color w:val="000000" w:themeColor="text1"/>
          <w:szCs w:val="32"/>
          <w14:textFill>
            <w14:solidFill>
              <w14:schemeClr w14:val="tx1"/>
            </w14:solidFill>
          </w14:textFill>
        </w:rPr>
      </w:pPr>
      <w:r>
        <w:rPr>
          <w:rFonts w:eastAsia="方正仿宋_GBK"/>
          <w:color w:val="000000" w:themeColor="text1"/>
          <w:szCs w:val="32"/>
          <w14:textFill>
            <w14:solidFill>
              <w14:schemeClr w14:val="tx1"/>
            </w14:solidFill>
          </w14:textFill>
        </w:rPr>
        <w:t>2</w:t>
      </w:r>
      <w:r>
        <w:rPr>
          <w:rFonts w:hint="eastAsia" w:eastAsia="方正仿宋_GBK"/>
          <w:color w:val="000000" w:themeColor="text1"/>
          <w:szCs w:val="32"/>
          <w14:textFill>
            <w14:solidFill>
              <w14:schemeClr w14:val="tx1"/>
            </w14:solidFill>
          </w14:textFill>
        </w:rPr>
        <w:t>.</w:t>
      </w:r>
      <w:r>
        <w:rPr>
          <w:rFonts w:hint="eastAsia" w:ascii="仿宋_GB2312"/>
          <w:color w:val="000000" w:themeColor="text1"/>
          <w:szCs w:val="32"/>
          <w14:textFill>
            <w14:solidFill>
              <w14:schemeClr w14:val="tx1"/>
            </w14:solidFill>
          </w14:textFill>
        </w:rPr>
        <w:t xml:space="preserve"> 住宅改作非住宅</w:t>
      </w:r>
      <w:r>
        <w:rPr>
          <w:rFonts w:eastAsia="方正仿宋_GBK"/>
          <w:color w:val="000000" w:themeColor="text1"/>
          <w:szCs w:val="32"/>
          <w14:textFill>
            <w14:solidFill>
              <w14:schemeClr w14:val="tx1"/>
            </w14:solidFill>
          </w14:textFill>
        </w:rPr>
        <w:t>非营业用房的，按住宅类房屋征收政策进行补偿安置。</w:t>
      </w:r>
    </w:p>
    <w:p w14:paraId="30500654">
      <w:pPr>
        <w:spacing w:line="560" w:lineRule="exact"/>
        <w:ind w:firstLine="640" w:firstLineChars="200"/>
        <w:rPr>
          <w:rFonts w:eastAsia="方正仿宋_GBK"/>
          <w:color w:val="000000" w:themeColor="text1"/>
          <w:szCs w:val="32"/>
          <w14:textFill>
            <w14:solidFill>
              <w14:schemeClr w14:val="tx1"/>
            </w14:solidFill>
          </w14:textFill>
        </w:rPr>
      </w:pPr>
      <w:r>
        <w:rPr>
          <w:rFonts w:hint="eastAsia" w:eastAsia="方正仿宋_GBK"/>
          <w:color w:val="000000" w:themeColor="text1"/>
          <w:szCs w:val="32"/>
          <w14:textFill>
            <w14:solidFill>
              <w14:schemeClr w14:val="tx1"/>
            </w14:solidFill>
          </w14:textFill>
        </w:rPr>
        <w:t>3.</w:t>
      </w:r>
      <w:r>
        <w:rPr>
          <w:rFonts w:hint="eastAsia" w:ascii="仿宋_GB2312"/>
          <w:color w:val="000000" w:themeColor="text1"/>
          <w:szCs w:val="32"/>
          <w14:textFill>
            <w14:solidFill>
              <w14:schemeClr w14:val="tx1"/>
            </w14:solidFill>
          </w14:textFill>
        </w:rPr>
        <w:t xml:space="preserve"> 非住宅非营业用房</w:t>
      </w:r>
      <w:r>
        <w:rPr>
          <w:rFonts w:eastAsia="方正仿宋_GBK"/>
          <w:color w:val="000000" w:themeColor="text1"/>
          <w:szCs w:val="32"/>
          <w14:textFill>
            <w14:solidFill>
              <w14:schemeClr w14:val="tx1"/>
            </w14:solidFill>
          </w14:textFill>
        </w:rPr>
        <w:t>改作营业用房的，参照住宅改作营业用房的政策处理。</w:t>
      </w:r>
    </w:p>
    <w:p w14:paraId="090F9897">
      <w:pPr>
        <w:spacing w:line="560" w:lineRule="exact"/>
        <w:ind w:firstLine="640" w:firstLineChars="200"/>
        <w:rPr>
          <w:rFonts w:eastAsia="方正黑体_GBK"/>
          <w:color w:val="000000" w:themeColor="text1"/>
          <w:szCs w:val="32"/>
          <w14:textFill>
            <w14:solidFill>
              <w14:schemeClr w14:val="tx1"/>
            </w14:solidFill>
          </w14:textFill>
        </w:rPr>
      </w:pPr>
      <w:r>
        <w:rPr>
          <w:rFonts w:hint="eastAsia" w:eastAsia="方正黑体_GBK"/>
          <w:color w:val="000000" w:themeColor="text1"/>
          <w:szCs w:val="32"/>
          <w14:textFill>
            <w14:solidFill>
              <w14:schemeClr w14:val="tx1"/>
            </w14:solidFill>
          </w14:textFill>
        </w:rPr>
        <w:t>七、关于停产停业损失补偿</w:t>
      </w:r>
    </w:p>
    <w:p w14:paraId="365D84B0">
      <w:pPr>
        <w:widowControl/>
        <w:shd w:val="clear" w:color="auto" w:fill="FFFFFF"/>
        <w:spacing w:line="540" w:lineRule="exact"/>
        <w:ind w:firstLine="640" w:firstLineChars="200"/>
        <w:rPr>
          <w:rFonts w:eastAsia="方正仿宋_GBK"/>
          <w:color w:val="000000" w:themeColor="text1"/>
          <w:kern w:val="0"/>
          <w:szCs w:val="32"/>
          <w14:textFill>
            <w14:solidFill>
              <w14:schemeClr w14:val="tx1"/>
            </w14:solidFill>
          </w14:textFill>
        </w:rPr>
      </w:pPr>
      <w:r>
        <w:rPr>
          <w:rFonts w:eastAsia="方正仿宋_GBK"/>
          <w:color w:val="000000" w:themeColor="text1"/>
          <w:kern w:val="0"/>
          <w:szCs w:val="32"/>
          <w14:textFill>
            <w14:solidFill>
              <w14:schemeClr w14:val="tx1"/>
            </w14:solidFill>
          </w14:textFill>
        </w:rPr>
        <w:t xml:space="preserve">本市行政区域内，房屋征收部门对因公共利益需要、征收国有土地上房屋而造成的停产停业损失应当给予适当的补偿。 </w:t>
      </w:r>
    </w:p>
    <w:p w14:paraId="3CB837BE">
      <w:pPr>
        <w:widowControl/>
        <w:shd w:val="clear" w:color="auto" w:fill="FFFFFF"/>
        <w:spacing w:line="540" w:lineRule="exact"/>
        <w:ind w:firstLine="643" w:firstLineChars="200"/>
        <w:rPr>
          <w:rFonts w:eastAsia="方正仿宋_GBK"/>
          <w:b/>
          <w:bCs/>
          <w:color w:val="000000" w:themeColor="text1"/>
          <w:kern w:val="0"/>
          <w:szCs w:val="32"/>
          <w14:textFill>
            <w14:solidFill>
              <w14:schemeClr w14:val="tx1"/>
            </w14:solidFill>
          </w14:textFill>
        </w:rPr>
      </w:pPr>
      <w:r>
        <w:rPr>
          <w:rFonts w:eastAsia="方正仿宋_GBK"/>
          <w:b/>
          <w:bCs/>
          <w:color w:val="000000" w:themeColor="text1"/>
          <w:kern w:val="0"/>
          <w:szCs w:val="32"/>
          <w14:textFill>
            <w14:solidFill>
              <w14:schemeClr w14:val="tx1"/>
            </w14:solidFill>
          </w14:textFill>
        </w:rPr>
        <w:t>（一）</w:t>
      </w:r>
      <w:r>
        <w:rPr>
          <w:rFonts w:hint="eastAsia" w:eastAsia="方正仿宋_GBK"/>
          <w:b/>
          <w:bCs/>
          <w:color w:val="000000" w:themeColor="text1"/>
          <w:kern w:val="0"/>
          <w:szCs w:val="32"/>
          <w14:textFill>
            <w14:solidFill>
              <w14:schemeClr w14:val="tx1"/>
            </w14:solidFill>
          </w14:textFill>
        </w:rPr>
        <w:t>停产停业损失的</w:t>
      </w:r>
      <w:r>
        <w:rPr>
          <w:rFonts w:eastAsia="方正仿宋_GBK"/>
          <w:b/>
          <w:bCs/>
          <w:color w:val="000000" w:themeColor="text1"/>
          <w:kern w:val="0"/>
          <w:szCs w:val="32"/>
          <w14:textFill>
            <w14:solidFill>
              <w14:schemeClr w14:val="tx1"/>
            </w14:solidFill>
          </w14:textFill>
        </w:rPr>
        <w:t>补偿对象</w:t>
      </w:r>
      <w:r>
        <w:rPr>
          <w:rFonts w:hint="eastAsia" w:eastAsia="方正仿宋_GBK"/>
          <w:b/>
          <w:bCs/>
          <w:color w:val="000000" w:themeColor="text1"/>
          <w:kern w:val="0"/>
          <w:szCs w:val="32"/>
          <w14:textFill>
            <w14:solidFill>
              <w14:schemeClr w14:val="tx1"/>
            </w14:solidFill>
          </w14:textFill>
        </w:rPr>
        <w:t>应同时符合以下条件：</w:t>
      </w:r>
    </w:p>
    <w:p w14:paraId="023F4BC5">
      <w:pPr>
        <w:widowControl/>
        <w:shd w:val="clear" w:color="auto" w:fill="FFFFFF"/>
        <w:spacing w:line="540" w:lineRule="exact"/>
        <w:ind w:firstLine="640" w:firstLineChars="200"/>
        <w:rPr>
          <w:rFonts w:eastAsia="方正仿宋_GBK"/>
          <w:color w:val="000000" w:themeColor="text1"/>
          <w:kern w:val="0"/>
          <w:szCs w:val="32"/>
          <w14:textFill>
            <w14:solidFill>
              <w14:schemeClr w14:val="tx1"/>
            </w14:solidFill>
          </w14:textFill>
        </w:rPr>
      </w:pPr>
      <w:r>
        <w:rPr>
          <w:rFonts w:hint="eastAsia" w:eastAsia="方正仿宋_GBK"/>
          <w:color w:val="000000" w:themeColor="text1"/>
          <w:kern w:val="0"/>
          <w:szCs w:val="32"/>
          <w14:textFill>
            <w14:solidFill>
              <w14:schemeClr w14:val="tx1"/>
            </w14:solidFill>
          </w14:textFill>
        </w:rPr>
        <w:t>1.</w:t>
      </w:r>
      <w:r>
        <w:rPr>
          <w:rFonts w:eastAsia="方正仿宋_GBK"/>
          <w:color w:val="000000" w:themeColor="text1"/>
          <w:kern w:val="0"/>
          <w:szCs w:val="32"/>
          <w14:textFill>
            <w14:solidFill>
              <w14:schemeClr w14:val="tx1"/>
            </w14:solidFill>
          </w14:textFill>
        </w:rPr>
        <w:t>具有</w:t>
      </w:r>
      <w:r>
        <w:rPr>
          <w:rFonts w:hint="eastAsia" w:eastAsia="方正仿宋_GBK"/>
          <w:color w:val="000000" w:themeColor="text1"/>
          <w:kern w:val="0"/>
          <w:szCs w:val="32"/>
          <w14:textFill>
            <w14:solidFill>
              <w14:schemeClr w14:val="tx1"/>
            </w14:solidFill>
          </w14:textFill>
        </w:rPr>
        <w:t>房屋不动产权证或房屋所有权证</w:t>
      </w:r>
      <w:r>
        <w:rPr>
          <w:rFonts w:eastAsia="方正仿宋_GBK"/>
          <w:color w:val="000000" w:themeColor="text1"/>
          <w:kern w:val="0"/>
          <w:szCs w:val="32"/>
          <w14:textFill>
            <w14:solidFill>
              <w14:schemeClr w14:val="tx1"/>
            </w14:solidFill>
          </w14:textFill>
        </w:rPr>
        <w:t xml:space="preserve">或经有关部门认定为合法非住宅营业用房，并且实际作为生产经营场所使用的； </w:t>
      </w:r>
    </w:p>
    <w:p w14:paraId="514A6C94">
      <w:pPr>
        <w:widowControl/>
        <w:shd w:val="clear" w:color="auto" w:fill="FFFFFF"/>
        <w:spacing w:line="540" w:lineRule="exact"/>
        <w:ind w:firstLine="640" w:firstLineChars="200"/>
        <w:rPr>
          <w:rFonts w:eastAsia="方正仿宋_GBK"/>
          <w:color w:val="000000" w:themeColor="text1"/>
          <w:kern w:val="0"/>
          <w:szCs w:val="32"/>
          <w14:textFill>
            <w14:solidFill>
              <w14:schemeClr w14:val="tx1"/>
            </w14:solidFill>
          </w14:textFill>
        </w:rPr>
      </w:pPr>
      <w:r>
        <w:rPr>
          <w:rFonts w:hint="eastAsia" w:eastAsia="方正仿宋_GBK"/>
          <w:color w:val="000000" w:themeColor="text1"/>
          <w:kern w:val="0"/>
          <w:szCs w:val="32"/>
          <w14:textFill>
            <w14:solidFill>
              <w14:schemeClr w14:val="tx1"/>
            </w14:solidFill>
          </w14:textFill>
        </w:rPr>
        <w:t>2.</w:t>
      </w:r>
      <w:r>
        <w:rPr>
          <w:rFonts w:eastAsia="方正仿宋_GBK"/>
          <w:color w:val="000000" w:themeColor="text1"/>
          <w:kern w:val="0"/>
          <w:szCs w:val="32"/>
          <w14:textFill>
            <w14:solidFill>
              <w14:schemeClr w14:val="tx1"/>
            </w14:solidFill>
          </w14:textFill>
        </w:rPr>
        <w:t xml:space="preserve">经营者应当持有合法、有效的营业执照； </w:t>
      </w:r>
    </w:p>
    <w:p w14:paraId="2F344375">
      <w:pPr>
        <w:widowControl/>
        <w:shd w:val="clear" w:color="auto" w:fill="FFFFFF"/>
        <w:spacing w:line="540" w:lineRule="exact"/>
        <w:ind w:firstLine="640" w:firstLineChars="200"/>
        <w:rPr>
          <w:rFonts w:eastAsia="方正仿宋_GBK"/>
          <w:color w:val="000000" w:themeColor="text1"/>
          <w:kern w:val="0"/>
          <w:szCs w:val="32"/>
          <w14:textFill>
            <w14:solidFill>
              <w14:schemeClr w14:val="tx1"/>
            </w14:solidFill>
          </w14:textFill>
        </w:rPr>
      </w:pPr>
      <w:r>
        <w:rPr>
          <w:rFonts w:hint="eastAsia" w:eastAsia="方正仿宋_GBK"/>
          <w:color w:val="000000" w:themeColor="text1"/>
          <w:kern w:val="0"/>
          <w:szCs w:val="32"/>
          <w14:textFill>
            <w14:solidFill>
              <w14:schemeClr w14:val="tx1"/>
            </w14:solidFill>
          </w14:textFill>
        </w:rPr>
        <w:t>3.</w:t>
      </w:r>
      <w:r>
        <w:rPr>
          <w:rFonts w:eastAsia="方正仿宋_GBK"/>
          <w:color w:val="000000" w:themeColor="text1"/>
          <w:kern w:val="0"/>
          <w:szCs w:val="32"/>
          <w14:textFill>
            <w14:solidFill>
              <w14:schemeClr w14:val="tx1"/>
            </w14:solidFill>
          </w14:textFill>
        </w:rPr>
        <w:t xml:space="preserve">因征收房屋造成了停产停业损失； </w:t>
      </w:r>
    </w:p>
    <w:p w14:paraId="1A51B517">
      <w:pPr>
        <w:widowControl/>
        <w:shd w:val="clear" w:color="auto" w:fill="FFFFFF"/>
        <w:spacing w:line="540" w:lineRule="exact"/>
        <w:ind w:firstLine="640" w:firstLineChars="200"/>
        <w:rPr>
          <w:rFonts w:eastAsia="方正仿宋_GBK"/>
          <w:color w:val="000000" w:themeColor="text1"/>
          <w:kern w:val="0"/>
          <w:szCs w:val="32"/>
          <w14:textFill>
            <w14:solidFill>
              <w14:schemeClr w14:val="tx1"/>
            </w14:solidFill>
          </w14:textFill>
        </w:rPr>
      </w:pPr>
      <w:r>
        <w:rPr>
          <w:rFonts w:eastAsia="方正仿宋_GBK"/>
          <w:color w:val="000000" w:themeColor="text1"/>
          <w:kern w:val="0"/>
          <w:szCs w:val="32"/>
          <w14:textFill>
            <w14:solidFill>
              <w14:schemeClr w14:val="tx1"/>
            </w14:solidFill>
          </w14:textFill>
        </w:rPr>
        <w:t xml:space="preserve">被征收人擅自将住宅房屋改变为营业用房的，征收时不给予停产停业损失补偿；擅自改变非住宅房屋用途的，按照原用途计算停产停业损失。 </w:t>
      </w:r>
    </w:p>
    <w:p w14:paraId="4B9D01A8">
      <w:pPr>
        <w:widowControl/>
        <w:ind w:firstLine="640" w:firstLineChars="200"/>
        <w:jc w:val="left"/>
        <w:rPr>
          <w:rFonts w:eastAsia="方正仿宋_GBK"/>
          <w:b/>
          <w:bCs/>
          <w:color w:val="000000" w:themeColor="text1"/>
          <w:kern w:val="0"/>
          <w:szCs w:val="32"/>
          <w14:textFill>
            <w14:solidFill>
              <w14:schemeClr w14:val="tx1"/>
            </w14:solidFill>
          </w14:textFill>
        </w:rPr>
      </w:pPr>
      <w:r>
        <w:rPr>
          <w:rFonts w:eastAsia="方正仿宋_GBK"/>
          <w:color w:val="000000" w:themeColor="text1"/>
          <w:kern w:val="0"/>
          <w:szCs w:val="32"/>
          <w14:textFill>
            <w14:solidFill>
              <w14:schemeClr w14:val="tx1"/>
            </w14:solidFill>
          </w14:textFill>
        </w:rPr>
        <w:t>被征收房屋于2010年7月1日前已经改变为营业用房，并取得营业执照、持续营业1年以上的，除按照《宜兴市国有土地上房屋征收评估实施细则》第二十四条的规定补偿外，再按征收房屋评估价格（含装潢及附属物）的2%给予停产停业损失补偿。</w:t>
      </w:r>
    </w:p>
    <w:p w14:paraId="615573C1">
      <w:pPr>
        <w:widowControl/>
        <w:shd w:val="clear" w:color="auto" w:fill="FFFFFF"/>
        <w:spacing w:line="540" w:lineRule="exact"/>
        <w:ind w:firstLine="643" w:firstLineChars="200"/>
        <w:rPr>
          <w:rFonts w:eastAsia="方正仿宋_GBK"/>
          <w:b/>
          <w:bCs/>
          <w:color w:val="000000" w:themeColor="text1"/>
          <w:kern w:val="0"/>
          <w:szCs w:val="32"/>
          <w14:textFill>
            <w14:solidFill>
              <w14:schemeClr w14:val="tx1"/>
            </w14:solidFill>
          </w14:textFill>
        </w:rPr>
      </w:pPr>
      <w:r>
        <w:rPr>
          <w:rFonts w:hint="eastAsia" w:eastAsia="方正仿宋_GBK"/>
          <w:b/>
          <w:bCs/>
          <w:color w:val="000000" w:themeColor="text1"/>
          <w:kern w:val="0"/>
          <w:szCs w:val="32"/>
          <w14:textFill>
            <w14:solidFill>
              <w14:schemeClr w14:val="tx1"/>
            </w14:solidFill>
          </w14:textFill>
        </w:rPr>
        <w:t>（二）停产停业损失具体补偿标准</w:t>
      </w:r>
    </w:p>
    <w:p w14:paraId="26469845">
      <w:pPr>
        <w:widowControl/>
        <w:shd w:val="clear" w:color="auto" w:fill="FFFFFF"/>
        <w:spacing w:line="540" w:lineRule="exact"/>
        <w:ind w:firstLine="640" w:firstLineChars="200"/>
        <w:rPr>
          <w:rFonts w:eastAsia="方正仿宋_GBK"/>
          <w:color w:val="000000" w:themeColor="text1"/>
          <w:kern w:val="0"/>
          <w:szCs w:val="32"/>
          <w14:textFill>
            <w14:solidFill>
              <w14:schemeClr w14:val="tx1"/>
            </w14:solidFill>
          </w14:textFill>
        </w:rPr>
      </w:pPr>
      <w:r>
        <w:rPr>
          <w:rFonts w:eastAsia="方正仿宋_GBK"/>
          <w:color w:val="000000" w:themeColor="text1"/>
          <w:kern w:val="0"/>
          <w:szCs w:val="32"/>
          <w14:textFill>
            <w14:solidFill>
              <w14:schemeClr w14:val="tx1"/>
            </w14:solidFill>
          </w14:textFill>
        </w:rPr>
        <w:t>停产停业</w:t>
      </w:r>
      <w:bookmarkStart w:id="7" w:name="_Hlk210984232"/>
      <w:r>
        <w:rPr>
          <w:rFonts w:eastAsia="方正仿宋_GBK"/>
          <w:color w:val="000000" w:themeColor="text1"/>
          <w:kern w:val="0"/>
          <w:szCs w:val="32"/>
          <w14:textFill>
            <w14:solidFill>
              <w14:schemeClr w14:val="tx1"/>
            </w14:solidFill>
          </w14:textFill>
        </w:rPr>
        <w:t>损失补偿的具体数额</w:t>
      </w:r>
      <w:bookmarkEnd w:id="7"/>
      <w:r>
        <w:rPr>
          <w:rFonts w:eastAsia="方正仿宋_GBK"/>
          <w:color w:val="000000" w:themeColor="text1"/>
          <w:kern w:val="0"/>
          <w:szCs w:val="32"/>
          <w14:textFill>
            <w14:solidFill>
              <w14:schemeClr w14:val="tx1"/>
            </w14:solidFill>
          </w14:textFill>
        </w:rPr>
        <w:t xml:space="preserve">由征收当事人按照规定协商确定；协商不成的，可以委托已经选定或者确定的房地产价格评估机构，按照被征收房屋在房屋征收决定作出前(协议征收项目以备案时间为准)三年的平均效益确定停产停业损失补偿费；不满三年的，按照实际年限折算年平均效益确定停产停业损失补偿费。计算年平均效益应当结合纳税情况，以会计核算及其他有关资料为依据。 </w:t>
      </w:r>
    </w:p>
    <w:p w14:paraId="7D4C4AC8">
      <w:pPr>
        <w:widowControl/>
        <w:shd w:val="clear" w:color="auto" w:fill="FFFFFF"/>
        <w:spacing w:line="540" w:lineRule="exact"/>
        <w:ind w:firstLine="640" w:firstLineChars="200"/>
        <w:rPr>
          <w:rFonts w:eastAsia="方正仿宋_GBK"/>
          <w:color w:val="000000" w:themeColor="text1"/>
          <w:kern w:val="0"/>
          <w:szCs w:val="32"/>
          <w14:textFill>
            <w14:solidFill>
              <w14:schemeClr w14:val="tx1"/>
            </w14:solidFill>
          </w14:textFill>
        </w:rPr>
      </w:pPr>
      <w:r>
        <w:rPr>
          <w:rFonts w:eastAsia="方正仿宋_GBK"/>
          <w:color w:val="000000" w:themeColor="text1"/>
          <w:kern w:val="0"/>
          <w:szCs w:val="32"/>
          <w14:textFill>
            <w14:solidFill>
              <w14:schemeClr w14:val="tx1"/>
            </w14:solidFill>
          </w14:textFill>
        </w:rPr>
        <w:t>被征收房屋为非住宅营业用房，被征收人选择货币补偿或产权调换现房的，按</w:t>
      </w:r>
      <w:r>
        <w:rPr>
          <w:rFonts w:hint="eastAsia" w:eastAsia="方正仿宋_GBK"/>
          <w:color w:val="000000" w:themeColor="text1"/>
          <w:kern w:val="0"/>
          <w:szCs w:val="32"/>
          <w14:textFill>
            <w14:solidFill>
              <w14:schemeClr w14:val="tx1"/>
            </w14:solidFill>
          </w14:textFill>
        </w:rPr>
        <w:t>被</w:t>
      </w:r>
      <w:r>
        <w:rPr>
          <w:rFonts w:eastAsia="方正仿宋_GBK"/>
          <w:color w:val="000000" w:themeColor="text1"/>
          <w:kern w:val="0"/>
          <w:szCs w:val="32"/>
          <w14:textFill>
            <w14:solidFill>
              <w14:schemeClr w14:val="tx1"/>
            </w14:solidFill>
          </w14:textFill>
        </w:rPr>
        <w:t xml:space="preserve">征收房屋评估价格（含装潢及附属物）的2%一次性给予停产停业损失补偿费。 </w:t>
      </w:r>
    </w:p>
    <w:p w14:paraId="72DDD1F0">
      <w:pPr>
        <w:widowControl/>
        <w:shd w:val="clear" w:color="auto" w:fill="FFFFFF"/>
        <w:spacing w:line="540" w:lineRule="exact"/>
        <w:ind w:firstLine="640" w:firstLineChars="200"/>
        <w:rPr>
          <w:rFonts w:eastAsia="方正仿宋_GBK"/>
          <w:color w:val="000000" w:themeColor="text1"/>
          <w:kern w:val="0"/>
          <w:szCs w:val="32"/>
          <w14:textFill>
            <w14:solidFill>
              <w14:schemeClr w14:val="tx1"/>
            </w14:solidFill>
          </w14:textFill>
        </w:rPr>
      </w:pPr>
      <w:r>
        <w:rPr>
          <w:rFonts w:eastAsia="方正仿宋_GBK"/>
          <w:color w:val="000000" w:themeColor="text1"/>
          <w:kern w:val="0"/>
          <w:szCs w:val="32"/>
          <w14:textFill>
            <w14:solidFill>
              <w14:schemeClr w14:val="tx1"/>
            </w14:solidFill>
          </w14:textFill>
        </w:rPr>
        <w:t>被征收房屋为非住宅营业用房，被征收人选择产权调换期房的，每月按</w:t>
      </w:r>
      <w:r>
        <w:rPr>
          <w:rFonts w:hint="eastAsia" w:eastAsia="方正仿宋_GBK"/>
          <w:color w:val="000000" w:themeColor="text1"/>
          <w:kern w:val="0"/>
          <w:szCs w:val="32"/>
          <w14:textFill>
            <w14:solidFill>
              <w14:schemeClr w14:val="tx1"/>
            </w14:solidFill>
          </w14:textFill>
        </w:rPr>
        <w:t>被</w:t>
      </w:r>
      <w:r>
        <w:rPr>
          <w:rFonts w:eastAsia="方正仿宋_GBK"/>
          <w:color w:val="000000" w:themeColor="text1"/>
          <w:kern w:val="0"/>
          <w:szCs w:val="32"/>
          <w14:textFill>
            <w14:solidFill>
              <w14:schemeClr w14:val="tx1"/>
            </w14:solidFill>
          </w14:textFill>
        </w:rPr>
        <w:t>征收房屋评估价格（含装潢及附属物）的3‰支付停产停业损失补偿费，停产停业期限按实际过渡期限计算。过渡期限延长的，自逾期之月起每月按</w:t>
      </w:r>
      <w:r>
        <w:rPr>
          <w:rFonts w:hint="eastAsia" w:eastAsia="方正仿宋_GBK"/>
          <w:color w:val="000000" w:themeColor="text1"/>
          <w:kern w:val="0"/>
          <w:szCs w:val="32"/>
          <w14:textFill>
            <w14:solidFill>
              <w14:schemeClr w14:val="tx1"/>
            </w14:solidFill>
          </w14:textFill>
        </w:rPr>
        <w:t>被</w:t>
      </w:r>
      <w:r>
        <w:rPr>
          <w:rFonts w:eastAsia="方正仿宋_GBK"/>
          <w:color w:val="000000" w:themeColor="text1"/>
          <w:kern w:val="0"/>
          <w:szCs w:val="32"/>
          <w14:textFill>
            <w14:solidFill>
              <w14:schemeClr w14:val="tx1"/>
            </w14:solidFill>
          </w14:textFill>
        </w:rPr>
        <w:t xml:space="preserve">征收房屋评估价格（含装潢及附属物）的3‰加付停产停业损失补偿费。 </w:t>
      </w:r>
    </w:p>
    <w:p w14:paraId="42CBEAFC">
      <w:pPr>
        <w:widowControl/>
        <w:shd w:val="clear" w:color="auto" w:fill="FFFFFF"/>
        <w:spacing w:line="540" w:lineRule="exact"/>
        <w:ind w:firstLine="640" w:firstLineChars="200"/>
        <w:rPr>
          <w:rFonts w:eastAsia="方正仿宋_GBK"/>
          <w:color w:val="000000" w:themeColor="text1"/>
          <w:kern w:val="0"/>
          <w:szCs w:val="32"/>
          <w14:textFill>
            <w14:solidFill>
              <w14:schemeClr w14:val="tx1"/>
            </w14:solidFill>
          </w14:textFill>
        </w:rPr>
      </w:pPr>
      <w:r>
        <w:rPr>
          <w:rFonts w:eastAsia="方正仿宋_GBK"/>
          <w:color w:val="000000" w:themeColor="text1"/>
          <w:kern w:val="0"/>
          <w:szCs w:val="32"/>
          <w14:textFill>
            <w14:solidFill>
              <w14:schemeClr w14:val="tx1"/>
            </w14:solidFill>
          </w14:textFill>
        </w:rPr>
        <w:t xml:space="preserve">在规定的过渡期限内，房屋征收部门按被征收的合法建筑面积提供了非住宅营业性临时安置房的，自提供临时安置房次月起不再支付停产停业损失补偿费。 </w:t>
      </w:r>
    </w:p>
    <w:p w14:paraId="240296B2">
      <w:pPr>
        <w:widowControl/>
        <w:shd w:val="clear" w:color="auto" w:fill="FFFFFF"/>
        <w:spacing w:line="540" w:lineRule="exact"/>
        <w:ind w:firstLine="640" w:firstLineChars="200"/>
        <w:rPr>
          <w:rFonts w:eastAsia="方正仿宋_GBK"/>
          <w:color w:val="000000" w:themeColor="text1"/>
          <w:kern w:val="0"/>
          <w:szCs w:val="32"/>
          <w14:textFill>
            <w14:solidFill>
              <w14:schemeClr w14:val="tx1"/>
            </w14:solidFill>
          </w14:textFill>
        </w:rPr>
      </w:pPr>
      <w:r>
        <w:rPr>
          <w:rFonts w:eastAsia="方正仿宋_GBK"/>
          <w:color w:val="000000" w:themeColor="text1"/>
          <w:szCs w:val="32"/>
          <w14:textFill>
            <w14:solidFill>
              <w14:schemeClr w14:val="tx1"/>
            </w14:solidFill>
          </w14:textFill>
        </w:rPr>
        <w:t>征收不生产或不经营的工业物流仓储用房，结合不生产、不经营等实际情况，按照被征收企业资产补偿总额（包括房地产、设备设施、装饰装修补偿和附属物的补偿）的3%一次性给予被征收人停产停业损失补偿。</w:t>
      </w:r>
      <w:r>
        <w:rPr>
          <w:rFonts w:eastAsia="方正仿宋_GBK"/>
          <w:color w:val="000000" w:themeColor="text1"/>
          <w:kern w:val="0"/>
          <w:szCs w:val="32"/>
          <w14:textFill>
            <w14:solidFill>
              <w14:schemeClr w14:val="tx1"/>
            </w14:solidFill>
          </w14:textFill>
        </w:rPr>
        <w:t xml:space="preserve"> </w:t>
      </w:r>
    </w:p>
    <w:p w14:paraId="125BF9A4">
      <w:pPr>
        <w:widowControl/>
        <w:shd w:val="clear" w:color="auto" w:fill="FFFFFF"/>
        <w:spacing w:line="540" w:lineRule="exact"/>
        <w:ind w:firstLine="640" w:firstLineChars="200"/>
        <w:rPr>
          <w:rFonts w:eastAsia="方正仿宋_GBK"/>
          <w:color w:val="000000" w:themeColor="text1"/>
          <w:kern w:val="0"/>
          <w:szCs w:val="32"/>
          <w14:textFill>
            <w14:solidFill>
              <w14:schemeClr w14:val="tx1"/>
            </w14:solidFill>
          </w14:textFill>
        </w:rPr>
      </w:pPr>
      <w:r>
        <w:rPr>
          <w:rFonts w:eastAsia="方正仿宋_GBK"/>
          <w:color w:val="000000" w:themeColor="text1"/>
          <w:szCs w:val="32"/>
          <w14:textFill>
            <w14:solidFill>
              <w14:schemeClr w14:val="tx1"/>
            </w14:solidFill>
          </w14:textFill>
        </w:rPr>
        <w:t>征收生产或经营中的工业物流仓储用房，按照被征收企业资产补偿总额（包括房地产、设备设施、装饰装修补偿和附属物的补偿）的5%</w:t>
      </w:r>
      <w:r>
        <w:rPr>
          <w:rFonts w:hint="eastAsia"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8%一次性给予被征收人停产停业损失补偿。</w:t>
      </w:r>
      <w:r>
        <w:rPr>
          <w:rFonts w:eastAsia="方正仿宋_GBK"/>
          <w:color w:val="000000" w:themeColor="text1"/>
          <w:kern w:val="0"/>
          <w:szCs w:val="32"/>
          <w14:textFill>
            <w14:solidFill>
              <w14:schemeClr w14:val="tx1"/>
            </w14:solidFill>
          </w14:textFill>
        </w:rPr>
        <w:t xml:space="preserve"> </w:t>
      </w:r>
    </w:p>
    <w:p w14:paraId="6D84CD49">
      <w:pPr>
        <w:widowControl/>
        <w:shd w:val="clear" w:color="auto" w:fill="FFFFFF"/>
        <w:spacing w:line="540" w:lineRule="exact"/>
        <w:ind w:firstLine="640" w:firstLineChars="200"/>
        <w:rPr>
          <w:rFonts w:eastAsia="方正仿宋_GBK"/>
          <w:color w:val="000000" w:themeColor="text1"/>
          <w:kern w:val="0"/>
          <w:szCs w:val="32"/>
          <w14:textFill>
            <w14:solidFill>
              <w14:schemeClr w14:val="tx1"/>
            </w14:solidFill>
          </w14:textFill>
        </w:rPr>
      </w:pPr>
      <w:r>
        <w:rPr>
          <w:rFonts w:eastAsia="方正仿宋_GBK"/>
          <w:color w:val="000000" w:themeColor="text1"/>
          <w:kern w:val="0"/>
          <w:szCs w:val="32"/>
          <w14:textFill>
            <w14:solidFill>
              <w14:schemeClr w14:val="tx1"/>
            </w14:solidFill>
          </w14:textFill>
        </w:rPr>
        <w:t>被征收房屋的生产者、经营者不是被征收人的，依照与被征收人的约定分配停产停业损失；没有约定的，由被征收人和生产者、经营者</w:t>
      </w:r>
      <w:r>
        <w:rPr>
          <w:rFonts w:hint="eastAsia" w:eastAsia="方正仿宋_GBK"/>
          <w:color w:val="000000" w:themeColor="text1"/>
          <w:kern w:val="0"/>
          <w:szCs w:val="32"/>
          <w14:textFill>
            <w14:solidFill>
              <w14:schemeClr w14:val="tx1"/>
            </w14:solidFill>
          </w14:textFill>
        </w:rPr>
        <w:t>自行</w:t>
      </w:r>
      <w:r>
        <w:rPr>
          <w:rFonts w:eastAsia="方正仿宋_GBK"/>
          <w:color w:val="000000" w:themeColor="text1"/>
          <w:kern w:val="0"/>
          <w:szCs w:val="32"/>
          <w14:textFill>
            <w14:solidFill>
              <w14:schemeClr w14:val="tx1"/>
            </w14:solidFill>
          </w14:textFill>
        </w:rPr>
        <w:t xml:space="preserve">协商确定。 </w:t>
      </w:r>
    </w:p>
    <w:p w14:paraId="1AC45904">
      <w:pPr>
        <w:widowControl/>
        <w:shd w:val="clear" w:color="auto" w:fill="FFFFFF"/>
        <w:spacing w:line="540" w:lineRule="exact"/>
        <w:ind w:firstLine="640" w:firstLineChars="200"/>
        <w:rPr>
          <w:rFonts w:eastAsia="方正仿宋_GBK"/>
          <w:color w:val="000000" w:themeColor="text1"/>
          <w:kern w:val="0"/>
          <w:szCs w:val="32"/>
          <w14:textFill>
            <w14:solidFill>
              <w14:schemeClr w14:val="tx1"/>
            </w14:solidFill>
          </w14:textFill>
        </w:rPr>
      </w:pPr>
      <w:r>
        <w:rPr>
          <w:rFonts w:eastAsia="方正仿宋_GBK"/>
          <w:color w:val="000000" w:themeColor="text1"/>
          <w:kern w:val="0"/>
          <w:szCs w:val="32"/>
          <w14:textFill>
            <w14:solidFill>
              <w14:schemeClr w14:val="tx1"/>
            </w14:solidFill>
          </w14:textFill>
        </w:rPr>
        <w:t xml:space="preserve">伪造、变造土地房屋证书或证明文件、营业执照等，骗取停产停业损失补偿的，房屋征收部门依法予以追回，构成犯罪的，依法追究刑事责任。 </w:t>
      </w:r>
    </w:p>
    <w:p w14:paraId="7997ACB7">
      <w:pPr>
        <w:spacing w:line="560" w:lineRule="exact"/>
        <w:ind w:left="200" w:firstLine="438" w:firstLineChars="137"/>
        <w:rPr>
          <w:rFonts w:eastAsia="方正黑体_GBK"/>
          <w:color w:val="000000" w:themeColor="text1"/>
          <w:szCs w:val="32"/>
          <w14:textFill>
            <w14:solidFill>
              <w14:schemeClr w14:val="tx1"/>
            </w14:solidFill>
          </w14:textFill>
        </w:rPr>
      </w:pPr>
      <w:r>
        <w:rPr>
          <w:rFonts w:hint="eastAsia" w:eastAsia="方正黑体_GBK"/>
          <w:color w:val="000000" w:themeColor="text1"/>
          <w:szCs w:val="32"/>
          <w14:textFill>
            <w14:solidFill>
              <w14:schemeClr w14:val="tx1"/>
            </w14:solidFill>
          </w14:textFill>
        </w:rPr>
        <w:t>八</w:t>
      </w:r>
      <w:r>
        <w:rPr>
          <w:rFonts w:eastAsia="方正黑体_GBK"/>
          <w:color w:val="000000" w:themeColor="text1"/>
          <w:szCs w:val="32"/>
          <w14:textFill>
            <w14:solidFill>
              <w14:schemeClr w14:val="tx1"/>
            </w14:solidFill>
          </w14:textFill>
        </w:rPr>
        <w:t>、其他</w:t>
      </w:r>
    </w:p>
    <w:p w14:paraId="4AC9E682">
      <w:pPr>
        <w:spacing w:line="560" w:lineRule="exact"/>
        <w:ind w:firstLine="640" w:firstLineChars="200"/>
        <w:rPr>
          <w:rFonts w:eastAsia="方正仿宋_GBK"/>
          <w:color w:val="000000" w:themeColor="text1"/>
          <w:szCs w:val="32"/>
          <w14:textFill>
            <w14:solidFill>
              <w14:schemeClr w14:val="tx1"/>
            </w14:solidFill>
          </w14:textFill>
        </w:rPr>
      </w:pPr>
      <w:r>
        <w:rPr>
          <w:rFonts w:eastAsia="方正仿宋_GBK"/>
          <w:color w:val="000000" w:themeColor="text1"/>
          <w:szCs w:val="32"/>
          <w14:textFill>
            <w14:solidFill>
              <w14:schemeClr w14:val="tx1"/>
            </w14:solidFill>
          </w14:textFill>
        </w:rPr>
        <w:t>本意见自颁发之日起实施，有效期5年。</w:t>
      </w:r>
      <w:r>
        <w:rPr>
          <w:rFonts w:hint="eastAsia" w:eastAsia="方正仿宋_GBK"/>
          <w:color w:val="000000" w:themeColor="text1"/>
          <w:szCs w:val="32"/>
          <w14:textFill>
            <w14:solidFill>
              <w14:schemeClr w14:val="tx1"/>
            </w14:solidFill>
          </w14:textFill>
        </w:rPr>
        <w:t>2014年12月24日公布的《宜兴市国有土地上房屋征收与补偿若干问题的处理意见》和2019年6月5日公布的《宜兴市国有土地上房屋征收停产停业损失补偿办法》同时废止。</w:t>
      </w:r>
    </w:p>
    <w:p w14:paraId="3E9CF726">
      <w:pPr>
        <w:spacing w:line="560" w:lineRule="exact"/>
        <w:ind w:firstLine="640" w:firstLineChars="200"/>
        <w:rPr>
          <w:rFonts w:eastAsia="方正仿宋_GBK"/>
          <w:color w:val="000000" w:themeColor="text1"/>
          <w:szCs w:val="32"/>
          <w14:textFill>
            <w14:solidFill>
              <w14:schemeClr w14:val="tx1"/>
            </w14:solidFill>
          </w14:textFill>
        </w:rPr>
      </w:pPr>
      <w:r>
        <w:rPr>
          <w:rFonts w:eastAsia="方正仿宋_GBK"/>
          <w:color w:val="000000" w:themeColor="text1"/>
          <w:szCs w:val="32"/>
          <w14:textFill>
            <w14:solidFill>
              <w14:schemeClr w14:val="tx1"/>
            </w14:solidFill>
          </w14:textFill>
        </w:rPr>
        <w:t>在本市征收集体土地涉及房屋的补偿安置活动参照本处理意见执行。</w:t>
      </w:r>
    </w:p>
    <w:p w14:paraId="7040A5C6">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5F"/>
    <w:rsid w:val="00106C5E"/>
    <w:rsid w:val="00163480"/>
    <w:rsid w:val="00193AB1"/>
    <w:rsid w:val="001A5433"/>
    <w:rsid w:val="002339BF"/>
    <w:rsid w:val="0023445F"/>
    <w:rsid w:val="00263A9D"/>
    <w:rsid w:val="00294978"/>
    <w:rsid w:val="002A62B0"/>
    <w:rsid w:val="003C201B"/>
    <w:rsid w:val="003E7B66"/>
    <w:rsid w:val="00504137"/>
    <w:rsid w:val="005B0EF6"/>
    <w:rsid w:val="005F1AEF"/>
    <w:rsid w:val="00655618"/>
    <w:rsid w:val="0078388A"/>
    <w:rsid w:val="008D0E6E"/>
    <w:rsid w:val="00902CB3"/>
    <w:rsid w:val="00911493"/>
    <w:rsid w:val="00962C1F"/>
    <w:rsid w:val="00A1162B"/>
    <w:rsid w:val="00A2423A"/>
    <w:rsid w:val="00A41015"/>
    <w:rsid w:val="00AF0B21"/>
    <w:rsid w:val="00B657A1"/>
    <w:rsid w:val="00BB1113"/>
    <w:rsid w:val="00CB4805"/>
    <w:rsid w:val="00D06648"/>
    <w:rsid w:val="00D26828"/>
    <w:rsid w:val="00D463A4"/>
    <w:rsid w:val="00DC185A"/>
    <w:rsid w:val="00DD315A"/>
    <w:rsid w:val="00E24F64"/>
    <w:rsid w:val="00E4554C"/>
    <w:rsid w:val="00E75314"/>
    <w:rsid w:val="00E91BFD"/>
    <w:rsid w:val="00EA31A9"/>
    <w:rsid w:val="00F1096C"/>
    <w:rsid w:val="00F82BCC"/>
    <w:rsid w:val="00FD0125"/>
    <w:rsid w:val="00FD4B6B"/>
    <w:rsid w:val="071D62EF"/>
    <w:rsid w:val="0ED57C3C"/>
    <w:rsid w:val="14FE6FDF"/>
    <w:rsid w:val="1609105D"/>
    <w:rsid w:val="1C454D55"/>
    <w:rsid w:val="239D712C"/>
    <w:rsid w:val="2F8B22A5"/>
    <w:rsid w:val="382E6929"/>
    <w:rsid w:val="42631605"/>
    <w:rsid w:val="49C34AA3"/>
    <w:rsid w:val="5BD57E10"/>
    <w:rsid w:val="75754E0C"/>
    <w:rsid w:val="78745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 w:val="21"/>
      <w:szCs w:val="22"/>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 w:val="21"/>
      <w:szCs w:val="22"/>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sz w:val="21"/>
      <w:szCs w:val="22"/>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sz w:val="21"/>
      <w:szCs w:val="22"/>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semiHidden/>
    <w:unhideWhenUsed/>
    <w:qFormat/>
    <w:uiPriority w:val="99"/>
    <w:pPr>
      <w:jc w:val="left"/>
    </w:pPr>
  </w:style>
  <w:style w:type="paragraph" w:styleId="12">
    <w:name w:val="footer"/>
    <w:basedOn w:val="1"/>
    <w:link w:val="3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6"/>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rFonts w:asciiTheme="minorHAnsi" w:hAnsiTheme="minorHAnsi" w:eastAsiaTheme="minorEastAsia" w:cstheme="minorBidi"/>
      <w:i/>
      <w:iCs/>
      <w:color w:val="404040" w:themeColor="text1" w:themeTint="BF"/>
      <w:sz w:val="21"/>
      <w:szCs w:val="22"/>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rPr>
      <w:rFonts w:asciiTheme="minorHAnsi" w:hAnsiTheme="minorHAnsi" w:eastAsiaTheme="minorEastAsia" w:cstheme="minorBidi"/>
      <w:sz w:val="21"/>
      <w:szCs w:val="22"/>
    </w:r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 w:val="21"/>
      <w:szCs w:val="22"/>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3"/>
    <w:uiPriority w:val="99"/>
    <w:rPr>
      <w:sz w:val="18"/>
      <w:szCs w:val="18"/>
    </w:rPr>
  </w:style>
  <w:style w:type="character" w:customStyle="1" w:styleId="37">
    <w:name w:val="页脚 字符"/>
    <w:basedOn w:val="17"/>
    <w:link w:val="12"/>
    <w:qFormat/>
    <w:uiPriority w:val="99"/>
    <w:rPr>
      <w:sz w:val="18"/>
      <w:szCs w:val="18"/>
    </w:rPr>
  </w:style>
  <w:style w:type="character" w:customStyle="1" w:styleId="38">
    <w:name w:val="批注文字 字符"/>
    <w:basedOn w:val="17"/>
    <w:link w:val="11"/>
    <w:semiHidden/>
    <w:qFormat/>
    <w:uiPriority w:val="99"/>
    <w:rPr>
      <w:rFonts w:ascii="Times New Roman" w:hAnsi="Times New Roman" w:eastAsia="仿宋_GB2312" w:cs="Times New Roman"/>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4349</Words>
  <Characters>4408</Characters>
  <Lines>113</Lines>
  <Paragraphs>71</Paragraphs>
  <TotalTime>177</TotalTime>
  <ScaleCrop>false</ScaleCrop>
  <LinksUpToDate>false</LinksUpToDate>
  <CharactersWithSpaces>4423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2026-01-27T06:07:00Z</dcterms:created>
  <dc:creator>Administrator</dc:creator>
  <cp:lastModifiedBy>尚星茹</cp:lastModifiedBy>
  <cp:lastPrinted>2026-05-29T01:30:00Z</cp:lastPrinted>
  <dcterms:modified xsi:type="dcterms:W3CDTF">2026-07-03T07:15:55Z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eyJoZGlkIjoiZjE1YjIwZGQ1NmNlMDJjYzBkNzY4MmY2NjgxOTdlNjgiLCJ1c2VySWQiOiIzNDk5MzQyNTUifQ==</vt:lpwstr>
  </property>
  <property fmtid="{D5CDD505-2E9C-101B-9397-08002B2CF9AE}" pid="3" name="KSOProductBuildVer">
    <vt:lpwstr>2052-12.1.0.26895</vt:lpwstr>
  </property>
  <property fmtid="{D5CDD505-2E9C-101B-9397-08002B2CF9AE}" pid="4" name="ICV">
    <vt:lpwstr>16A4754E9BAE47B4AE8481D9B3EEEE01_13</vt:lpwstr>
  </property>
</Properties>
</file>