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ABBFE">
      <w:pPr>
        <w:spacing w:line="700" w:lineRule="exact"/>
        <w:jc w:val="center"/>
        <w:rPr>
          <w:rFonts w:ascii="宋体" w:hAnsi="宋体" w:eastAsia="宋体"/>
          <w:b/>
          <w:sz w:val="44"/>
          <w:szCs w:val="44"/>
        </w:rPr>
      </w:pPr>
      <w:r>
        <w:rPr>
          <w:rFonts w:hint="eastAsia" w:ascii="宋体" w:hAnsi="宋体" w:eastAsia="宋体"/>
          <w:b/>
          <w:sz w:val="44"/>
          <w:szCs w:val="44"/>
        </w:rPr>
        <w:t>宜兴市供销合作总社房屋租赁权</w:t>
      </w:r>
    </w:p>
    <w:p w14:paraId="5AD68B86">
      <w:pPr>
        <w:spacing w:line="700" w:lineRule="exact"/>
        <w:jc w:val="center"/>
        <w:rPr>
          <w:rFonts w:ascii="宋体" w:hAnsi="宋体" w:eastAsia="宋体" w:cs="宋体"/>
          <w:b/>
          <w:bCs/>
          <w:sz w:val="44"/>
          <w:szCs w:val="44"/>
        </w:rPr>
      </w:pPr>
      <w:r>
        <w:rPr>
          <w:rFonts w:hint="eastAsia" w:ascii="宋体" w:hAnsi="宋体" w:eastAsia="宋体" w:cs="宋体"/>
          <w:b/>
          <w:bCs/>
          <w:sz w:val="44"/>
          <w:szCs w:val="44"/>
        </w:rPr>
        <w:t>拍卖须知</w:t>
      </w:r>
    </w:p>
    <w:p w14:paraId="597E9DD9">
      <w:pPr>
        <w:spacing w:line="700" w:lineRule="exact"/>
        <w:jc w:val="center"/>
        <w:rPr>
          <w:rFonts w:cs="宋体" w:asciiTheme="majorEastAsia" w:hAnsiTheme="majorEastAsia" w:eastAsiaTheme="majorEastAsia"/>
          <w:b/>
          <w:bCs/>
          <w:sz w:val="24"/>
        </w:rPr>
      </w:pPr>
    </w:p>
    <w:p w14:paraId="3C01522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本须知根据《中华人民共和国拍卖法》及有关法律、法规和委托人的要求制定，本次拍卖活动遵循“公开、公平、公正、诚实守信”原则，竞买人应仔细阅读和遵守规则，并对自己的行为负责。</w:t>
      </w:r>
    </w:p>
    <w:p w14:paraId="47D1BDB3">
      <w:pPr>
        <w:pStyle w:val="12"/>
        <w:numPr>
          <w:ilvl w:val="0"/>
          <w:numId w:val="1"/>
        </w:numPr>
        <w:spacing w:line="480" w:lineRule="exact"/>
        <w:ind w:firstLineChars="0"/>
        <w:rPr>
          <w:rFonts w:cs="宋体" w:asciiTheme="majorEastAsia" w:hAnsiTheme="majorEastAsia" w:eastAsiaTheme="majorEastAsia"/>
          <w:sz w:val="24"/>
        </w:rPr>
      </w:pPr>
      <w:r>
        <w:rPr>
          <w:rFonts w:hint="eastAsia" w:cs="宋体" w:asciiTheme="majorEastAsia" w:hAnsiTheme="majorEastAsia" w:eastAsiaTheme="majorEastAsia"/>
          <w:sz w:val="24"/>
        </w:rPr>
        <w:t>拍卖标的</w:t>
      </w:r>
    </w:p>
    <w:tbl>
      <w:tblPr>
        <w:tblStyle w:val="8"/>
        <w:tblW w:w="9962"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5075"/>
        <w:gridCol w:w="938"/>
        <w:gridCol w:w="937"/>
        <w:gridCol w:w="1200"/>
      </w:tblGrid>
      <w:tr w14:paraId="3023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2" w:type="dxa"/>
          </w:tcPr>
          <w:p w14:paraId="0AD851A0">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标的编号</w:t>
            </w:r>
          </w:p>
        </w:tc>
        <w:tc>
          <w:tcPr>
            <w:tcW w:w="5075" w:type="dxa"/>
          </w:tcPr>
          <w:p w14:paraId="110CF8A6">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标的名称</w:t>
            </w:r>
          </w:p>
        </w:tc>
        <w:tc>
          <w:tcPr>
            <w:tcW w:w="938" w:type="dxa"/>
          </w:tcPr>
          <w:p w14:paraId="3EF37F7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建筑面积</w:t>
            </w:r>
          </w:p>
          <w:p w14:paraId="0D62661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w:t>
            </w:r>
          </w:p>
        </w:tc>
        <w:tc>
          <w:tcPr>
            <w:tcW w:w="937" w:type="dxa"/>
          </w:tcPr>
          <w:p w14:paraId="525ECE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出租年限</w:t>
            </w:r>
          </w:p>
          <w:p w14:paraId="1531B36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（年）</w:t>
            </w:r>
          </w:p>
        </w:tc>
        <w:tc>
          <w:tcPr>
            <w:tcW w:w="1200" w:type="dxa"/>
          </w:tcPr>
          <w:p w14:paraId="6EC351C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起拍价</w:t>
            </w:r>
          </w:p>
          <w:p w14:paraId="3516A6D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（万元/年）</w:t>
            </w:r>
          </w:p>
        </w:tc>
      </w:tr>
      <w:tr w14:paraId="7504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C99FD48">
            <w:pPr>
              <w:widowControl/>
              <w:numPr>
                <w:ilvl w:val="0"/>
                <w:numId w:val="0"/>
              </w:numPr>
              <w:spacing w:before="0" w:beforeAutospacing="0" w:after="0" w:afterAutospacing="0" w:line="400" w:lineRule="exact"/>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YXZL20260013001</w:t>
            </w:r>
          </w:p>
        </w:tc>
        <w:tc>
          <w:tcPr>
            <w:tcW w:w="5075" w:type="dxa"/>
          </w:tcPr>
          <w:p w14:paraId="386EC90D">
            <w:pPr>
              <w:widowControl/>
              <w:numPr>
                <w:ilvl w:val="0"/>
                <w:numId w:val="0"/>
              </w:numPr>
              <w:spacing w:before="0" w:beforeAutospacing="0" w:after="0" w:afterAutospacing="0" w:line="400" w:lineRule="exact"/>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阳泉西路红塔供销社大院内仓库房号106号租赁权</w:t>
            </w:r>
          </w:p>
        </w:tc>
        <w:tc>
          <w:tcPr>
            <w:tcW w:w="938" w:type="dxa"/>
          </w:tcPr>
          <w:p w14:paraId="7E33C60E">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172.80</w:t>
            </w:r>
          </w:p>
        </w:tc>
        <w:tc>
          <w:tcPr>
            <w:tcW w:w="937" w:type="dxa"/>
          </w:tcPr>
          <w:p w14:paraId="2DE85FCD">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3</w:t>
            </w:r>
          </w:p>
        </w:tc>
        <w:tc>
          <w:tcPr>
            <w:tcW w:w="1200" w:type="dxa"/>
          </w:tcPr>
          <w:p w14:paraId="71473304">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2.8160</w:t>
            </w:r>
          </w:p>
        </w:tc>
      </w:tr>
      <w:tr w14:paraId="5DF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9D6DF64">
            <w:pPr>
              <w:widowControl/>
              <w:numPr>
                <w:ilvl w:val="0"/>
                <w:numId w:val="0"/>
              </w:numPr>
              <w:spacing w:before="0" w:beforeAutospacing="0" w:after="0" w:afterAutospacing="0" w:line="400" w:lineRule="exact"/>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YXZL20260013002</w:t>
            </w:r>
          </w:p>
        </w:tc>
        <w:tc>
          <w:tcPr>
            <w:tcW w:w="5075" w:type="dxa"/>
          </w:tcPr>
          <w:p w14:paraId="383B99C5">
            <w:pPr>
              <w:widowControl/>
              <w:numPr>
                <w:ilvl w:val="0"/>
                <w:numId w:val="0"/>
              </w:numPr>
              <w:spacing w:before="0" w:beforeAutospacing="0" w:after="0" w:afterAutospacing="0" w:line="400" w:lineRule="exact"/>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官林镇原供销社门卫1间租赁权</w:t>
            </w:r>
          </w:p>
        </w:tc>
        <w:tc>
          <w:tcPr>
            <w:tcW w:w="938" w:type="dxa"/>
          </w:tcPr>
          <w:p w14:paraId="42475A42">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25.00</w:t>
            </w:r>
          </w:p>
        </w:tc>
        <w:tc>
          <w:tcPr>
            <w:tcW w:w="937" w:type="dxa"/>
          </w:tcPr>
          <w:p w14:paraId="11BD3229">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3</w:t>
            </w:r>
          </w:p>
        </w:tc>
        <w:tc>
          <w:tcPr>
            <w:tcW w:w="1200" w:type="dxa"/>
          </w:tcPr>
          <w:p w14:paraId="1D0089D2">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1.8000</w:t>
            </w:r>
          </w:p>
        </w:tc>
      </w:tr>
      <w:tr w14:paraId="0A6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4DA3036">
            <w:pPr>
              <w:widowControl/>
              <w:numPr>
                <w:ilvl w:val="0"/>
                <w:numId w:val="0"/>
              </w:numPr>
              <w:spacing w:before="0" w:beforeAutospacing="0" w:after="0" w:afterAutospacing="0" w:line="400" w:lineRule="exact"/>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YXZL20260013003</w:t>
            </w:r>
          </w:p>
        </w:tc>
        <w:tc>
          <w:tcPr>
            <w:tcW w:w="5075" w:type="dxa"/>
          </w:tcPr>
          <w:p w14:paraId="58017530">
            <w:pPr>
              <w:widowControl/>
              <w:numPr>
                <w:ilvl w:val="0"/>
                <w:numId w:val="0"/>
              </w:numPr>
              <w:spacing w:before="0" w:beforeAutospacing="0" w:after="0" w:afterAutospacing="0" w:line="400" w:lineRule="exact"/>
              <w:jc w:val="left"/>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西木仓库2号楼2-6（3间）租赁权</w:t>
            </w:r>
          </w:p>
        </w:tc>
        <w:tc>
          <w:tcPr>
            <w:tcW w:w="938" w:type="dxa"/>
          </w:tcPr>
          <w:p w14:paraId="54283C40">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95.47</w:t>
            </w:r>
          </w:p>
        </w:tc>
        <w:tc>
          <w:tcPr>
            <w:tcW w:w="937" w:type="dxa"/>
          </w:tcPr>
          <w:p w14:paraId="2D019955">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3</w:t>
            </w:r>
          </w:p>
        </w:tc>
        <w:tc>
          <w:tcPr>
            <w:tcW w:w="1200" w:type="dxa"/>
          </w:tcPr>
          <w:p w14:paraId="2A3CAFF7">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2.3868</w:t>
            </w:r>
          </w:p>
        </w:tc>
      </w:tr>
      <w:tr w14:paraId="068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7CC77A6">
            <w:pPr>
              <w:widowControl/>
              <w:numPr>
                <w:ilvl w:val="0"/>
                <w:numId w:val="0"/>
              </w:numPr>
              <w:spacing w:before="0" w:beforeAutospacing="0" w:after="0" w:afterAutospacing="0" w:line="400" w:lineRule="exact"/>
              <w:jc w:val="center"/>
              <w:rPr>
                <w:rFonts w:hint="eastAsia" w:ascii="等线" w:hAnsi="等线" w:eastAsia="等线" w:cs="等线"/>
                <w:kern w:val="0"/>
                <w:sz w:val="18"/>
                <w:szCs w:val="18"/>
                <w:shd w:val="clear" w:color="auto" w:fill="FFFFFF"/>
                <w:vertAlign w:val="baseline"/>
                <w:lang w:val="en-US" w:eastAsia="zh-CN" w:bidi="ar-SA"/>
              </w:rPr>
            </w:pPr>
            <w:r>
              <w:rPr>
                <w:rFonts w:hint="eastAsia" w:ascii="等线" w:hAnsi="等线" w:eastAsia="等线" w:cs="等线"/>
                <w:kern w:val="0"/>
                <w:sz w:val="18"/>
                <w:szCs w:val="18"/>
                <w:shd w:val="clear" w:color="auto" w:fill="FFFFFF"/>
                <w:vertAlign w:val="baseline"/>
                <w:lang w:val="en-US" w:eastAsia="zh-CN" w:bidi="ar-SA"/>
              </w:rPr>
              <w:t>YXZL20260013004</w:t>
            </w:r>
          </w:p>
        </w:tc>
        <w:tc>
          <w:tcPr>
            <w:tcW w:w="5075" w:type="dxa"/>
          </w:tcPr>
          <w:p w14:paraId="0F00131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阳泉西路红塔供销社大院内仓库房号1401－1号（3间）、1402－2号（2间）租赁权</w:t>
            </w:r>
          </w:p>
        </w:tc>
        <w:tc>
          <w:tcPr>
            <w:tcW w:w="938" w:type="dxa"/>
          </w:tcPr>
          <w:p w14:paraId="427982A1">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263.50</w:t>
            </w:r>
          </w:p>
        </w:tc>
        <w:tc>
          <w:tcPr>
            <w:tcW w:w="937" w:type="dxa"/>
          </w:tcPr>
          <w:p w14:paraId="73427E6E">
            <w:pPr>
              <w:widowControl/>
              <w:numPr>
                <w:ilvl w:val="0"/>
                <w:numId w:val="0"/>
              </w:numPr>
              <w:spacing w:before="0" w:beforeAutospacing="0" w:after="0" w:afterAutospacing="0" w:line="400" w:lineRule="exact"/>
              <w:jc w:val="center"/>
              <w:rPr>
                <w:rFonts w:hint="eastAsia"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3</w:t>
            </w:r>
          </w:p>
        </w:tc>
        <w:tc>
          <w:tcPr>
            <w:tcW w:w="1200" w:type="dxa"/>
          </w:tcPr>
          <w:p w14:paraId="4BA800BB">
            <w:pPr>
              <w:widowControl/>
              <w:numPr>
                <w:ilvl w:val="0"/>
                <w:numId w:val="0"/>
              </w:numPr>
              <w:spacing w:before="0" w:beforeAutospacing="0" w:after="0" w:afterAutospacing="0" w:line="400" w:lineRule="exact"/>
              <w:jc w:val="center"/>
              <w:rPr>
                <w:rFonts w:hint="default" w:ascii="宋体" w:hAnsi="宋体" w:eastAsia="宋体" w:cs="宋体"/>
                <w:kern w:val="0"/>
                <w:sz w:val="18"/>
                <w:szCs w:val="18"/>
                <w:shd w:val="clear" w:color="auto" w:fill="FFFFFF"/>
                <w:vertAlign w:val="baseline"/>
                <w:lang w:val="en-US" w:eastAsia="zh-CN" w:bidi="ar-SA"/>
              </w:rPr>
            </w:pPr>
            <w:r>
              <w:rPr>
                <w:rFonts w:hint="eastAsia" w:ascii="宋体" w:hAnsi="宋体" w:eastAsia="宋体" w:cs="宋体"/>
                <w:kern w:val="0"/>
                <w:sz w:val="18"/>
                <w:szCs w:val="18"/>
                <w:shd w:val="clear" w:color="auto" w:fill="FFFFFF"/>
                <w:vertAlign w:val="baseline"/>
                <w:lang w:val="en-US" w:eastAsia="zh-CN" w:bidi="ar-SA"/>
              </w:rPr>
              <w:t>2.8000</w:t>
            </w:r>
          </w:p>
        </w:tc>
      </w:tr>
    </w:tbl>
    <w:p w14:paraId="0599FC6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第二条 拍卖时间及地点</w:t>
      </w:r>
    </w:p>
    <w:p w14:paraId="44F82C47">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1、拍卖时间：</w:t>
      </w:r>
      <w:r>
        <w:rPr>
          <w:rFonts w:hint="eastAsia" w:cs="宋体" w:asciiTheme="majorEastAsia" w:hAnsiTheme="majorEastAsia" w:eastAsiaTheme="majorEastAsia"/>
          <w:sz w:val="24"/>
          <w:lang w:val="en-US" w:eastAsia="zh-CN"/>
        </w:rPr>
        <w:t>2026</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6</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23</w:t>
      </w:r>
      <w:r>
        <w:rPr>
          <w:rFonts w:hint="eastAsia" w:cs="宋体" w:asciiTheme="majorEastAsia" w:hAnsiTheme="majorEastAsia" w:eastAsiaTheme="majorEastAsia"/>
          <w:sz w:val="24"/>
        </w:rPr>
        <w:t xml:space="preserve">日上午 9:00。                </w:t>
      </w:r>
    </w:p>
    <w:p w14:paraId="1FAA2507">
      <w:pPr>
        <w:spacing w:line="480" w:lineRule="exact"/>
        <w:ind w:firstLine="480" w:firstLineChars="200"/>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、拍卖地点：宜兴市公共资源交易中心二楼</w:t>
      </w:r>
      <w:bookmarkStart w:id="0" w:name="_Hlk154153367"/>
      <w:r>
        <w:rPr>
          <w:rFonts w:hint="eastAsia" w:cs="宋体" w:asciiTheme="majorEastAsia" w:hAnsiTheme="majorEastAsia" w:eastAsiaTheme="majorEastAsia"/>
          <w:sz w:val="24"/>
          <w:lang w:eastAsia="zh-CN"/>
        </w:rPr>
        <w:t>多功能厅</w:t>
      </w:r>
      <w:r>
        <w:rPr>
          <w:rFonts w:hint="eastAsia" w:cs="宋体" w:asciiTheme="majorEastAsia" w:hAnsiTheme="majorEastAsia" w:eastAsiaTheme="majorEastAsia"/>
          <w:sz w:val="24"/>
        </w:rPr>
        <w:t>(宜兴市陶都路125号)</w:t>
      </w:r>
      <w:bookmarkEnd w:id="0"/>
    </w:p>
    <w:p w14:paraId="3DF50728">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第三条 拍卖报名</w:t>
      </w:r>
    </w:p>
    <w:p w14:paraId="3343DF08">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1、</w:t>
      </w:r>
      <w:bookmarkStart w:id="1" w:name="_Hlk154154618"/>
      <w:r>
        <w:rPr>
          <w:rFonts w:hint="eastAsia" w:cs="宋体" w:asciiTheme="majorEastAsia" w:hAnsiTheme="majorEastAsia" w:eastAsiaTheme="majorEastAsia"/>
          <w:shd w:val="clear" w:color="auto" w:fill="FFFFFF"/>
        </w:rPr>
        <w:t>报名</w:t>
      </w:r>
      <w:r>
        <w:rPr>
          <w:rFonts w:hint="eastAsia" w:asciiTheme="majorEastAsia" w:hAnsiTheme="majorEastAsia" w:eastAsiaTheme="majorEastAsia"/>
          <w:shd w:val="clear" w:color="auto" w:fill="FFFFFF"/>
        </w:rPr>
        <w:t>截止</w:t>
      </w:r>
      <w:r>
        <w:rPr>
          <w:rFonts w:hint="eastAsia" w:cs="宋体" w:asciiTheme="majorEastAsia" w:hAnsiTheme="majorEastAsia" w:eastAsiaTheme="majorEastAsia"/>
          <w:shd w:val="clear" w:color="auto" w:fill="FFFFFF"/>
        </w:rPr>
        <w:t>时间</w:t>
      </w:r>
      <w:bookmarkEnd w:id="1"/>
      <w:r>
        <w:rPr>
          <w:rFonts w:hint="eastAsia" w:cs="宋体" w:asciiTheme="majorEastAsia" w:hAnsiTheme="majorEastAsia" w:eastAsiaTheme="majorEastAsia"/>
          <w:shd w:val="clear" w:color="auto" w:fill="FFFFFF"/>
        </w:rPr>
        <w:t>：</w:t>
      </w:r>
      <w:r>
        <w:rPr>
          <w:rFonts w:hint="eastAsia" w:asciiTheme="majorEastAsia" w:hAnsiTheme="majorEastAsia" w:eastAsiaTheme="majorEastAsia"/>
          <w:shd w:val="clear" w:color="auto" w:fill="FFFFFF"/>
        </w:rPr>
        <w:t xml:space="preserve"> </w:t>
      </w:r>
      <w:bookmarkStart w:id="2" w:name="_Hlk154154629"/>
      <w:r>
        <w:rPr>
          <w:rFonts w:hint="eastAsia" w:cs="宋体" w:asciiTheme="majorEastAsia" w:hAnsiTheme="majorEastAsia" w:eastAsiaTheme="majorEastAsia"/>
          <w:shd w:val="clear" w:color="auto" w:fill="FFFFFF"/>
          <w:lang w:val="en-US" w:eastAsia="zh-CN"/>
        </w:rPr>
        <w:t>2026</w:t>
      </w:r>
      <w:r>
        <w:rPr>
          <w:rFonts w:hint="eastAsia" w:cs="宋体" w:asciiTheme="majorEastAsia" w:hAnsiTheme="majorEastAsia" w:eastAsiaTheme="majorEastAsia"/>
          <w:shd w:val="clear" w:color="auto" w:fill="FFFFFF"/>
        </w:rPr>
        <w:t>年</w:t>
      </w:r>
      <w:r>
        <w:rPr>
          <w:rFonts w:hint="eastAsia" w:cs="宋体" w:asciiTheme="majorEastAsia" w:hAnsiTheme="majorEastAsia" w:eastAsiaTheme="majorEastAsia"/>
          <w:shd w:val="clear" w:color="auto" w:fill="FFFFFF"/>
          <w:lang w:val="en-US" w:eastAsia="zh-CN"/>
        </w:rPr>
        <w:t>6</w:t>
      </w:r>
      <w:r>
        <w:rPr>
          <w:rFonts w:hint="eastAsia" w:cs="宋体" w:asciiTheme="majorEastAsia" w:hAnsiTheme="majorEastAsia" w:eastAsiaTheme="majorEastAsia"/>
          <w:shd w:val="clear" w:color="auto" w:fill="FFFFFF"/>
        </w:rPr>
        <w:t>月</w:t>
      </w:r>
      <w:r>
        <w:rPr>
          <w:rFonts w:hint="eastAsia" w:cs="宋体" w:asciiTheme="majorEastAsia" w:hAnsiTheme="majorEastAsia" w:eastAsiaTheme="majorEastAsia"/>
          <w:shd w:val="clear" w:color="auto" w:fill="FFFFFF"/>
          <w:lang w:val="en-US" w:eastAsia="zh-CN"/>
        </w:rPr>
        <w:t>22</w:t>
      </w:r>
      <w:r>
        <w:rPr>
          <w:rFonts w:hint="eastAsia" w:cs="宋体" w:asciiTheme="majorEastAsia" w:hAnsiTheme="majorEastAsia" w:eastAsiaTheme="majorEastAsia"/>
          <w:shd w:val="clear" w:color="auto" w:fill="FFFFFF"/>
        </w:rPr>
        <w:t>日</w:t>
      </w:r>
      <w:bookmarkEnd w:id="2"/>
      <w:r>
        <w:rPr>
          <w:rFonts w:hint="eastAsia" w:cs="宋体" w:asciiTheme="majorEastAsia" w:hAnsiTheme="majorEastAsia" w:eastAsiaTheme="majorEastAsia"/>
          <w:shd w:val="clear" w:color="auto" w:fill="FFFFFF"/>
        </w:rPr>
        <w:t>16时30分</w:t>
      </w:r>
    </w:p>
    <w:p w14:paraId="4EBC09FB">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2、</w:t>
      </w:r>
      <w:bookmarkStart w:id="3" w:name="_Hlk154154819"/>
      <w:r>
        <w:rPr>
          <w:rFonts w:hint="eastAsia" w:cs="宋体" w:asciiTheme="majorEastAsia" w:hAnsiTheme="majorEastAsia" w:eastAsiaTheme="majorEastAsia"/>
          <w:shd w:val="clear" w:color="auto" w:fill="FFFFFF"/>
        </w:rPr>
        <w:t>报名程序及注意事项</w:t>
      </w:r>
      <w:bookmarkEnd w:id="3"/>
      <w:r>
        <w:rPr>
          <w:rFonts w:hint="eastAsia" w:cs="宋体" w:asciiTheme="majorEastAsia" w:hAnsiTheme="majorEastAsia" w:eastAsiaTheme="majorEastAsia"/>
          <w:shd w:val="clear" w:color="auto" w:fill="FFFFFF"/>
        </w:rPr>
        <w:t>：</w:t>
      </w:r>
      <w:bookmarkStart w:id="5" w:name="_GoBack"/>
      <w:bookmarkEnd w:id="5"/>
    </w:p>
    <w:p w14:paraId="56A41CBA">
      <w:pPr>
        <w:pStyle w:val="6"/>
        <w:shd w:val="clear" w:color="auto" w:fill="FFFFFF"/>
        <w:spacing w:beforeAutospacing="0" w:afterAutospacing="0" w:line="480" w:lineRule="exact"/>
        <w:ind w:firstLine="481"/>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（1）</w:t>
      </w:r>
      <w:r>
        <w:rPr>
          <w:rFonts w:hint="eastAsia" w:asciiTheme="majorEastAsia" w:hAnsiTheme="majorEastAsia" w:eastAsiaTheme="majorEastAsia"/>
          <w:b/>
          <w:bCs/>
          <w:shd w:val="clear" w:color="auto" w:fill="FFFFFF"/>
        </w:rPr>
        <w:t>注册会员</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竞买人应在</w:t>
      </w:r>
      <w:r>
        <w:rPr>
          <w:rFonts w:hint="eastAsia" w:asciiTheme="majorEastAsia" w:hAnsiTheme="majorEastAsia" w:eastAsiaTheme="majorEastAsia"/>
          <w:shd w:val="clear" w:color="auto" w:fill="FFFFFF"/>
        </w:rPr>
        <w:t>报名截止时间</w:t>
      </w:r>
      <w:r>
        <w:rPr>
          <w:rFonts w:hint="eastAsia" w:cs="宋体" w:asciiTheme="majorEastAsia" w:hAnsiTheme="majorEastAsia" w:eastAsiaTheme="majorEastAsia"/>
          <w:shd w:val="clear" w:color="auto" w:fill="FFFFFF"/>
        </w:rPr>
        <w:t>前</w:t>
      </w:r>
      <w:r>
        <w:rPr>
          <w:rFonts w:hint="eastAsia" w:asciiTheme="majorEastAsia" w:hAnsiTheme="majorEastAsia" w:eastAsiaTheme="majorEastAsia"/>
          <w:shd w:val="clear" w:color="auto" w:fill="FFFFFF"/>
        </w:rPr>
        <w:t>登录宜兴市公共资源交易系统</w:t>
      </w:r>
      <w:r>
        <w:rPr>
          <w:rFonts w:hint="eastAsia" w:cs="宋体" w:asciiTheme="majorEastAsia" w:hAnsiTheme="majorEastAsia" w:eastAsiaTheme="majorEastAsia"/>
          <w:shd w:val="clear" w:color="auto" w:fill="FFFFFF"/>
        </w:rPr>
        <w:t>，进行实名会员注册（注册信息须真实、完整、准确）</w:t>
      </w:r>
      <w:r>
        <w:rPr>
          <w:rFonts w:hint="eastAsia" w:asciiTheme="majorEastAsia" w:hAnsiTheme="majorEastAsia" w:eastAsiaTheme="majorEastAsia"/>
          <w:shd w:val="clear" w:color="auto" w:fill="FFFFFF"/>
        </w:rPr>
        <w:t>；注册信息</w:t>
      </w:r>
      <w:r>
        <w:rPr>
          <w:rFonts w:hint="eastAsia" w:cs="宋体" w:asciiTheme="majorEastAsia" w:hAnsiTheme="majorEastAsia" w:eastAsiaTheme="majorEastAsia"/>
          <w:shd w:val="clear" w:color="auto" w:fill="FFFFFF"/>
        </w:rPr>
        <w:t>经交易中心审核通过后，竞买人</w:t>
      </w:r>
      <w:r>
        <w:rPr>
          <w:rFonts w:hint="eastAsia" w:asciiTheme="majorEastAsia" w:hAnsiTheme="majorEastAsia" w:eastAsiaTheme="majorEastAsia"/>
          <w:shd w:val="clear" w:color="auto" w:fill="FFFFFF"/>
        </w:rPr>
        <w:t>即可</w:t>
      </w:r>
      <w:r>
        <w:rPr>
          <w:rFonts w:hint="eastAsia" w:cs="宋体" w:asciiTheme="majorEastAsia" w:hAnsiTheme="majorEastAsia" w:eastAsiaTheme="majorEastAsia"/>
          <w:shd w:val="clear" w:color="auto" w:fill="FFFFFF"/>
        </w:rPr>
        <w:t>进行报名。</w:t>
      </w:r>
    </w:p>
    <w:p w14:paraId="2C8E5C19">
      <w:pPr>
        <w:pStyle w:val="6"/>
        <w:shd w:val="clear" w:color="auto" w:fill="FFFFFF"/>
        <w:spacing w:beforeAutospacing="0" w:afterAutospacing="0" w:line="480" w:lineRule="exact"/>
        <w:ind w:firstLine="481"/>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（2）</w:t>
      </w:r>
      <w:r>
        <w:rPr>
          <w:rFonts w:hint="eastAsia" w:asciiTheme="majorEastAsia" w:hAnsiTheme="majorEastAsia" w:eastAsiaTheme="majorEastAsia"/>
          <w:b/>
          <w:bCs/>
          <w:shd w:val="clear" w:color="auto" w:fill="FFFFFF"/>
        </w:rPr>
        <w:t>交纳保证金</w:t>
      </w:r>
      <w:r>
        <w:rPr>
          <w:rFonts w:hint="eastAsia" w:asciiTheme="majorEastAsia" w:hAnsiTheme="majorEastAsia" w:eastAsiaTheme="majorEastAsia"/>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0A7B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4DEA6527">
            <w:pPr>
              <w:pStyle w:val="6"/>
              <w:spacing w:beforeAutospacing="0" w:afterAutospacing="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序号</w:t>
            </w:r>
          </w:p>
        </w:tc>
        <w:tc>
          <w:tcPr>
            <w:tcW w:w="1700" w:type="dxa"/>
            <w:vAlign w:val="center"/>
          </w:tcPr>
          <w:p w14:paraId="2728F813">
            <w:pPr>
              <w:pStyle w:val="6"/>
              <w:spacing w:beforeAutospacing="0" w:afterAutospacing="0"/>
              <w:jc w:val="center"/>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拍卖保证金</w:t>
            </w:r>
          </w:p>
        </w:tc>
        <w:tc>
          <w:tcPr>
            <w:tcW w:w="5685" w:type="dxa"/>
            <w:vAlign w:val="center"/>
          </w:tcPr>
          <w:p w14:paraId="225723D4">
            <w:pPr>
              <w:pStyle w:val="6"/>
              <w:spacing w:beforeAutospacing="0" w:afterAutospacing="0"/>
              <w:ind w:firstLine="1680" w:firstLineChars="7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 xml:space="preserve">内 </w:t>
            </w:r>
            <w:r>
              <w:rPr>
                <w:rFonts w:asciiTheme="majorEastAsia" w:hAnsiTheme="majorEastAsia" w:eastAsiaTheme="majorEastAsia"/>
                <w:shd w:val="clear" w:color="auto" w:fill="FFFFFF"/>
              </w:rPr>
              <w:t xml:space="preserve">    </w:t>
            </w:r>
            <w:r>
              <w:rPr>
                <w:rFonts w:hint="eastAsia" w:asciiTheme="majorEastAsia" w:hAnsiTheme="majorEastAsia" w:eastAsiaTheme="majorEastAsia"/>
                <w:shd w:val="clear" w:color="auto" w:fill="FFFFFF"/>
              </w:rPr>
              <w:t>容</w:t>
            </w:r>
          </w:p>
        </w:tc>
      </w:tr>
      <w:tr w14:paraId="5D9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0350E4DF">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1</w:t>
            </w:r>
          </w:p>
        </w:tc>
        <w:tc>
          <w:tcPr>
            <w:tcW w:w="1700" w:type="dxa"/>
            <w:vAlign w:val="center"/>
          </w:tcPr>
          <w:p w14:paraId="276D997F">
            <w:pPr>
              <w:pStyle w:val="6"/>
              <w:spacing w:beforeAutospacing="0" w:afterAutospacing="0"/>
              <w:jc w:val="center"/>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交纳金额</w:t>
            </w:r>
          </w:p>
        </w:tc>
        <w:tc>
          <w:tcPr>
            <w:tcW w:w="5685" w:type="dxa"/>
            <w:vAlign w:val="center"/>
          </w:tcPr>
          <w:p w14:paraId="5868090D">
            <w:pPr>
              <w:pStyle w:val="6"/>
              <w:spacing w:beforeAutospacing="0" w:afterAutospacing="0"/>
              <w:jc w:val="both"/>
              <w:rPr>
                <w:shd w:val="clear" w:color="auto" w:fill="FFFFFF"/>
              </w:rPr>
            </w:pPr>
            <w:r>
              <w:rPr>
                <w:rFonts w:ascii="宋体" w:hAnsi="宋体" w:eastAsia="宋体" w:cs="宋体"/>
              </w:rPr>
              <w:t>详见电子化交易系统各标的保证金子账号信息</w:t>
            </w:r>
          </w:p>
        </w:tc>
      </w:tr>
      <w:tr w14:paraId="245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75EA9E0">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2</w:t>
            </w:r>
          </w:p>
        </w:tc>
        <w:tc>
          <w:tcPr>
            <w:tcW w:w="1700" w:type="dxa"/>
            <w:vAlign w:val="center"/>
          </w:tcPr>
          <w:p w14:paraId="293C5DA4">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rPr>
              <w:t>交纳</w:t>
            </w:r>
            <w:r>
              <w:rPr>
                <w:rFonts w:asciiTheme="majorEastAsia" w:hAnsiTheme="majorEastAsia" w:eastAsiaTheme="majorEastAsia"/>
              </w:rPr>
              <w:t>形式</w:t>
            </w:r>
          </w:p>
        </w:tc>
        <w:tc>
          <w:tcPr>
            <w:tcW w:w="5685" w:type="dxa"/>
            <w:vAlign w:val="center"/>
          </w:tcPr>
          <w:p w14:paraId="4249D015">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电汇方式</w:t>
            </w:r>
            <w:r>
              <w:rPr>
                <w:rFonts w:hint="eastAsia" w:asciiTheme="majorEastAsia" w:hAnsiTheme="majorEastAsia" w:eastAsiaTheme="majorEastAsia"/>
              </w:rPr>
              <w:t>，竞买人</w:t>
            </w:r>
            <w:r>
              <w:rPr>
                <w:rFonts w:asciiTheme="majorEastAsia" w:hAnsiTheme="majorEastAsia" w:eastAsiaTheme="majorEastAsia"/>
              </w:rPr>
              <w:t>须在</w:t>
            </w:r>
            <w:r>
              <w:rPr>
                <w:rFonts w:hint="eastAsia" w:asciiTheme="majorEastAsia" w:hAnsiTheme="majorEastAsia" w:eastAsiaTheme="majorEastAsia"/>
              </w:rPr>
              <w:t>报名</w:t>
            </w:r>
            <w:r>
              <w:rPr>
                <w:rFonts w:asciiTheme="majorEastAsia" w:hAnsiTheme="majorEastAsia" w:eastAsiaTheme="majorEastAsia"/>
              </w:rPr>
              <w:t>截止时间前</w:t>
            </w:r>
            <w:r>
              <w:rPr>
                <w:rFonts w:hint="eastAsia" w:asciiTheme="majorEastAsia" w:hAnsiTheme="majorEastAsia" w:eastAsiaTheme="majorEastAsia"/>
              </w:rPr>
              <w:t>从诚信库备案的基本账户或个人账户</w:t>
            </w:r>
            <w:r>
              <w:rPr>
                <w:rFonts w:asciiTheme="majorEastAsia" w:hAnsiTheme="majorEastAsia" w:eastAsiaTheme="majorEastAsia"/>
              </w:rPr>
              <w:t>汇到本标的保证金子账号中</w:t>
            </w:r>
          </w:p>
        </w:tc>
      </w:tr>
      <w:tr w14:paraId="111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67C524C9">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3</w:t>
            </w:r>
          </w:p>
        </w:tc>
        <w:tc>
          <w:tcPr>
            <w:tcW w:w="1700" w:type="dxa"/>
            <w:vAlign w:val="center"/>
          </w:tcPr>
          <w:p w14:paraId="60A4F3D1">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账户名称</w:t>
            </w:r>
          </w:p>
        </w:tc>
        <w:tc>
          <w:tcPr>
            <w:tcW w:w="5685" w:type="dxa"/>
            <w:vAlign w:val="center"/>
          </w:tcPr>
          <w:p w14:paraId="2C30A004">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宜兴市公共资源交易中心</w:t>
            </w:r>
          </w:p>
        </w:tc>
      </w:tr>
      <w:tr w14:paraId="45B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CCAC553">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4</w:t>
            </w:r>
          </w:p>
        </w:tc>
        <w:tc>
          <w:tcPr>
            <w:tcW w:w="1700" w:type="dxa"/>
            <w:vAlign w:val="center"/>
          </w:tcPr>
          <w:p w14:paraId="0AA6FCFC">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开户银行</w:t>
            </w:r>
          </w:p>
        </w:tc>
        <w:tc>
          <w:tcPr>
            <w:tcW w:w="5685" w:type="dxa"/>
            <w:vAlign w:val="center"/>
          </w:tcPr>
          <w:p w14:paraId="6577DA96">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中国农业银行股份有限公司宜兴分行营业部</w:t>
            </w:r>
          </w:p>
        </w:tc>
      </w:tr>
      <w:tr w14:paraId="2F3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1DED695B">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5</w:t>
            </w:r>
          </w:p>
        </w:tc>
        <w:tc>
          <w:tcPr>
            <w:tcW w:w="1700" w:type="dxa"/>
            <w:vAlign w:val="center"/>
          </w:tcPr>
          <w:p w14:paraId="7EEF3EDC">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银行账号</w:t>
            </w:r>
          </w:p>
        </w:tc>
        <w:tc>
          <w:tcPr>
            <w:tcW w:w="5685" w:type="dxa"/>
            <w:vAlign w:val="center"/>
          </w:tcPr>
          <w:p w14:paraId="0282EE59">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网上交易系统中相应标</w:t>
            </w:r>
            <w:r>
              <w:rPr>
                <w:rFonts w:hint="eastAsia" w:asciiTheme="majorEastAsia" w:hAnsiTheme="majorEastAsia" w:eastAsiaTheme="majorEastAsia"/>
              </w:rPr>
              <w:t>的</w:t>
            </w:r>
            <w:r>
              <w:rPr>
                <w:rFonts w:asciiTheme="majorEastAsia" w:hAnsiTheme="majorEastAsia" w:eastAsiaTheme="majorEastAsia"/>
              </w:rPr>
              <w:t>保证金子账号即为该标</w:t>
            </w:r>
            <w:r>
              <w:rPr>
                <w:rFonts w:hint="eastAsia" w:asciiTheme="majorEastAsia" w:hAnsiTheme="majorEastAsia" w:eastAsiaTheme="majorEastAsia"/>
              </w:rPr>
              <w:t>的</w:t>
            </w:r>
            <w:r>
              <w:rPr>
                <w:rFonts w:asciiTheme="majorEastAsia" w:hAnsiTheme="majorEastAsia" w:eastAsiaTheme="majorEastAsia"/>
              </w:rPr>
              <w:t>保证金账号</w:t>
            </w:r>
          </w:p>
        </w:tc>
      </w:tr>
    </w:tbl>
    <w:p w14:paraId="62AE0AD7">
      <w:pPr>
        <w:pStyle w:val="6"/>
        <w:shd w:val="clear" w:color="auto" w:fill="FFFFFF"/>
        <w:spacing w:beforeAutospacing="0" w:afterAutospacing="0" w:line="480" w:lineRule="exact"/>
        <w:ind w:left="450" w:leftChars="100" w:hanging="240" w:hangingChars="100"/>
        <w:jc w:val="both"/>
        <w:rPr>
          <w:rFonts w:asciiTheme="majorEastAsia" w:hAnsiTheme="majorEastAsia" w:eastAsiaTheme="majorEastAsia"/>
        </w:rPr>
      </w:pPr>
      <w:r>
        <w:rPr>
          <w:rFonts w:asciiTheme="majorEastAsia" w:hAnsiTheme="majorEastAsia" w:eastAsiaTheme="majorEastAsia"/>
        </w:rPr>
        <w:t xml:space="preserve">注： </w:t>
      </w:r>
    </w:p>
    <w:p w14:paraId="0BE4E428">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①</w:t>
      </w:r>
      <w:r>
        <w:rPr>
          <w:rFonts w:asciiTheme="majorEastAsia" w:hAnsiTheme="majorEastAsia" w:eastAsiaTheme="majorEastAsia"/>
        </w:rPr>
        <w:t xml:space="preserve"> “网上交易系统”是指宜兴市公共资源交易中心网上交易系统。</w:t>
      </w:r>
    </w:p>
    <w:p w14:paraId="5B2E8FC4">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② </w:t>
      </w:r>
      <w:r>
        <w:rPr>
          <w:rFonts w:asciiTheme="majorEastAsia" w:hAnsiTheme="majorEastAsia" w:eastAsiaTheme="majorEastAsia"/>
        </w:rPr>
        <w:t>保证金子账号查询方式：竞买人进入网上交易系统后，</w:t>
      </w:r>
      <w:r>
        <w:rPr>
          <w:rFonts w:hint="eastAsia" w:asciiTheme="majorEastAsia" w:hAnsiTheme="majorEastAsia" w:eastAsiaTheme="majorEastAsia"/>
        </w:rPr>
        <w:t>即可在相应标的查看</w:t>
      </w:r>
      <w:r>
        <w:rPr>
          <w:rFonts w:asciiTheme="majorEastAsia" w:hAnsiTheme="majorEastAsia" w:eastAsiaTheme="majorEastAsia"/>
        </w:rPr>
        <w:t>保证金子账号。</w:t>
      </w:r>
    </w:p>
    <w:p w14:paraId="1DE1026F">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③ </w:t>
      </w:r>
      <w:r>
        <w:rPr>
          <w:rFonts w:asciiTheme="majorEastAsia" w:hAnsiTheme="majorEastAsia" w:eastAsiaTheme="majorEastAsia"/>
        </w:rPr>
        <w:t>保证金划出账号必须与宜兴市公共资源交易中心企业诚信库中的企业银行基本账户</w:t>
      </w:r>
      <w:r>
        <w:rPr>
          <w:rFonts w:hint="eastAsia" w:asciiTheme="majorEastAsia" w:hAnsiTheme="majorEastAsia" w:eastAsiaTheme="majorEastAsia"/>
        </w:rPr>
        <w:t>或个人账户的</w:t>
      </w:r>
      <w:r>
        <w:rPr>
          <w:rFonts w:asciiTheme="majorEastAsia" w:hAnsiTheme="majorEastAsia" w:eastAsiaTheme="majorEastAsia"/>
        </w:rPr>
        <w:t>开户账号一致，否则无法进行网上保证金的</w:t>
      </w:r>
      <w:r>
        <w:rPr>
          <w:rFonts w:hint="eastAsia" w:asciiTheme="majorEastAsia" w:hAnsiTheme="majorEastAsia" w:eastAsiaTheme="majorEastAsia"/>
        </w:rPr>
        <w:t>交</w:t>
      </w:r>
      <w:r>
        <w:rPr>
          <w:rFonts w:asciiTheme="majorEastAsia" w:hAnsiTheme="majorEastAsia" w:eastAsiaTheme="majorEastAsia"/>
        </w:rPr>
        <w:t>纳，请竞买人确保企业诚信库中账户的准确性和有效性。</w:t>
      </w:r>
    </w:p>
    <w:p w14:paraId="6D7E4D52">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④ </w:t>
      </w:r>
      <w:r>
        <w:rPr>
          <w:rFonts w:asciiTheme="majorEastAsia" w:hAnsiTheme="majorEastAsia" w:eastAsiaTheme="majorEastAsia"/>
        </w:rPr>
        <w:t>各竞买人应当充分考虑各种因素导致保证金入账滞后风险 （如异地、跨行到账 延迟等银行系统问题或竞买人自身汇款有误等情况），请</w:t>
      </w:r>
      <w:r>
        <w:rPr>
          <w:rFonts w:hint="eastAsia" w:asciiTheme="majorEastAsia" w:hAnsiTheme="majorEastAsia" w:eastAsiaTheme="majorEastAsia"/>
        </w:rPr>
        <w:t>竞买人</w:t>
      </w:r>
      <w:r>
        <w:rPr>
          <w:rFonts w:asciiTheme="majorEastAsia" w:hAnsiTheme="majorEastAsia" w:eastAsiaTheme="majorEastAsia"/>
        </w:rPr>
        <w:t>根据自己的实际情况尽早安排好保证金的到账时间，确保保证金在</w:t>
      </w:r>
      <w:r>
        <w:rPr>
          <w:rFonts w:hint="eastAsia" w:asciiTheme="majorEastAsia" w:hAnsiTheme="majorEastAsia" w:eastAsiaTheme="majorEastAsia"/>
        </w:rPr>
        <w:t>报名</w:t>
      </w:r>
      <w:r>
        <w:rPr>
          <w:rFonts w:asciiTheme="majorEastAsia" w:hAnsiTheme="majorEastAsia" w:eastAsiaTheme="majorEastAsia"/>
        </w:rPr>
        <w:t>截止时间前到账,否则造成无效</w:t>
      </w:r>
      <w:r>
        <w:rPr>
          <w:rFonts w:hint="eastAsia" w:asciiTheme="majorEastAsia" w:hAnsiTheme="majorEastAsia" w:eastAsiaTheme="majorEastAsia"/>
        </w:rPr>
        <w:t>报名</w:t>
      </w:r>
      <w:r>
        <w:rPr>
          <w:rFonts w:asciiTheme="majorEastAsia" w:hAnsiTheme="majorEastAsia" w:eastAsiaTheme="majorEastAsia"/>
        </w:rPr>
        <w:t>的责任自负。</w:t>
      </w:r>
    </w:p>
    <w:p w14:paraId="1AEE9369">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⑤ </w:t>
      </w:r>
      <w:r>
        <w:rPr>
          <w:rFonts w:asciiTheme="majorEastAsia" w:hAnsiTheme="majorEastAsia" w:eastAsiaTheme="majorEastAsia"/>
        </w:rPr>
        <w:t>若因系统问题，</w:t>
      </w:r>
      <w:r>
        <w:rPr>
          <w:rFonts w:hint="eastAsia" w:asciiTheme="majorEastAsia" w:hAnsiTheme="majorEastAsia" w:eastAsiaTheme="majorEastAsia"/>
        </w:rPr>
        <w:t>报名截止</w:t>
      </w:r>
      <w:r>
        <w:rPr>
          <w:rFonts w:asciiTheme="majorEastAsia" w:hAnsiTheme="majorEastAsia" w:eastAsiaTheme="majorEastAsia"/>
        </w:rPr>
        <w:t>时系统无法正常显示保证金到账情况</w:t>
      </w:r>
      <w:r>
        <w:rPr>
          <w:rFonts w:hint="eastAsia" w:asciiTheme="majorEastAsia" w:hAnsiTheme="majorEastAsia" w:eastAsiaTheme="majorEastAsia"/>
        </w:rPr>
        <w:t>的</w:t>
      </w:r>
      <w:r>
        <w:rPr>
          <w:rFonts w:asciiTheme="majorEastAsia" w:hAnsiTheme="majorEastAsia" w:eastAsiaTheme="majorEastAsia"/>
        </w:rPr>
        <w:t>，以实际到账(子账号)为准。</w:t>
      </w:r>
    </w:p>
    <w:p w14:paraId="2C563DF6">
      <w:pPr>
        <w:pStyle w:val="6"/>
        <w:shd w:val="clear" w:color="auto" w:fill="FFFFFF"/>
        <w:spacing w:beforeAutospacing="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 xml:space="preserve">⑥ </w:t>
      </w:r>
      <w:r>
        <w:rPr>
          <w:rFonts w:asciiTheme="majorEastAsia" w:hAnsiTheme="majorEastAsia" w:eastAsiaTheme="majorEastAsia"/>
        </w:rPr>
        <w:t>中 国 农 业 银 行 股 份 有 限 公 司 宜 兴 分 行 营 业 部 行 号 ： 103302364819。 公共资源交易中心财务咨询电话：87956061。</w:t>
      </w:r>
    </w:p>
    <w:p w14:paraId="07B9A4E4">
      <w:pPr>
        <w:pStyle w:val="6"/>
        <w:shd w:val="clear" w:color="auto" w:fill="FFFFFF"/>
        <w:spacing w:beforeAutospacing="0" w:afterAutospacing="0" w:line="480" w:lineRule="exact"/>
        <w:ind w:firstLine="480" w:firstLineChars="200"/>
        <w:rPr>
          <w:rFonts w:cs="宋体" w:asciiTheme="majorEastAsia" w:hAnsiTheme="majorEastAsia" w:eastAsiaTheme="majorEastAsia"/>
          <w:shd w:val="clear" w:color="auto" w:fill="FFFFFF"/>
        </w:rPr>
      </w:pPr>
    </w:p>
    <w:p w14:paraId="481CD196">
      <w:pPr>
        <w:pStyle w:val="6"/>
        <w:shd w:val="clear" w:color="auto" w:fill="FFFFFF"/>
        <w:spacing w:beforeAutospacing="0" w:afterAutospacing="0" w:line="480" w:lineRule="exact"/>
        <w:ind w:firstLine="481"/>
        <w:jc w:val="both"/>
        <w:rPr>
          <w:rFonts w:asciiTheme="majorEastAsia" w:hAnsiTheme="majorEastAsia" w:eastAsiaTheme="majorEastAsia"/>
        </w:rPr>
      </w:pPr>
      <w:r>
        <w:rPr>
          <w:rFonts w:hint="eastAsia" w:cs="宋体" w:asciiTheme="majorEastAsia" w:hAnsiTheme="majorEastAsia" w:eastAsiaTheme="majorEastAsia"/>
          <w:shd w:val="clear" w:color="auto" w:fill="FFFFFF"/>
        </w:rPr>
        <w:t>（3）</w:t>
      </w:r>
      <w:r>
        <w:rPr>
          <w:rFonts w:hint="eastAsia" w:asciiTheme="majorEastAsia" w:hAnsiTheme="majorEastAsia" w:eastAsiaTheme="majorEastAsia"/>
          <w:b/>
          <w:bCs/>
          <w:shd w:val="clear" w:color="auto" w:fill="FFFFFF"/>
        </w:rPr>
        <w:t>特殊</w:t>
      </w:r>
      <w:r>
        <w:rPr>
          <w:rFonts w:hint="eastAsia" w:cs="宋体" w:asciiTheme="majorEastAsia" w:hAnsiTheme="majorEastAsia" w:eastAsiaTheme="majorEastAsia"/>
          <w:b/>
          <w:bCs/>
          <w:shd w:val="clear" w:color="auto" w:fill="FFFFFF"/>
        </w:rPr>
        <w:t>要求：</w:t>
      </w:r>
      <w:r>
        <w:rPr>
          <w:rFonts w:hint="eastAsia" w:asciiTheme="majorEastAsia" w:hAnsiTheme="majorEastAsia" w:eastAsiaTheme="majorEastAsia"/>
          <w:shd w:val="clear" w:color="auto" w:fill="FFFFFF"/>
        </w:rPr>
        <w:t>无</w:t>
      </w:r>
    </w:p>
    <w:p w14:paraId="5EC1AE05">
      <w:pPr>
        <w:pStyle w:val="6"/>
        <w:shd w:val="clear" w:color="auto" w:fill="FFFFFF"/>
        <w:spacing w:beforeAutospacing="0" w:afterAutospacing="0" w:line="480" w:lineRule="exact"/>
        <w:ind w:firstLine="420"/>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（4）竞买人应在</w:t>
      </w:r>
      <w:r>
        <w:rPr>
          <w:rFonts w:hint="eastAsia" w:asciiTheme="majorEastAsia" w:hAnsiTheme="majorEastAsia" w:eastAsiaTheme="majorEastAsia"/>
          <w:shd w:val="clear" w:color="auto" w:fill="FFFFFF"/>
        </w:rPr>
        <w:t>报名截止时间前</w:t>
      </w:r>
      <w:r>
        <w:rPr>
          <w:rFonts w:hint="eastAsia" w:cs="宋体" w:asciiTheme="majorEastAsia" w:hAnsiTheme="majorEastAsia" w:eastAsiaTheme="majorEastAsia"/>
          <w:shd w:val="clear" w:color="auto" w:fill="FFFFFF"/>
        </w:rPr>
        <w:t>完成注册，</w:t>
      </w:r>
      <w:r>
        <w:rPr>
          <w:rFonts w:hint="eastAsia" w:asciiTheme="majorEastAsia" w:hAnsiTheme="majorEastAsia" w:eastAsiaTheme="majorEastAsia"/>
          <w:shd w:val="clear" w:color="auto" w:fill="FFFFFF"/>
        </w:rPr>
        <w:t>并按照相关要求进行报名；</w:t>
      </w:r>
      <w:r>
        <w:rPr>
          <w:rFonts w:hint="eastAsia" w:cs="宋体" w:asciiTheme="majorEastAsia" w:hAnsiTheme="majorEastAsia" w:eastAsiaTheme="majorEastAsia"/>
          <w:shd w:val="clear" w:color="auto" w:fill="FFFFFF"/>
        </w:rPr>
        <w:t>未在规定期限内完成报名手续的或未通过后台审核的竞买人不得参加竞买。</w:t>
      </w:r>
    </w:p>
    <w:p w14:paraId="1AA9499B">
      <w:pPr>
        <w:pStyle w:val="6"/>
        <w:shd w:val="clear" w:color="auto" w:fill="FFFFFF"/>
        <w:spacing w:beforeAutospacing="0" w:afterAutospacing="0" w:line="480" w:lineRule="exact"/>
        <w:ind w:firstLine="420"/>
        <w:jc w:val="both"/>
        <w:rPr>
          <w:rFonts w:cs="宋体" w:asciiTheme="majorEastAsia" w:hAnsiTheme="majorEastAsia" w:eastAsiaTheme="majorEastAsia"/>
        </w:rPr>
      </w:pPr>
      <w:r>
        <w:rPr>
          <w:rFonts w:hint="eastAsia" w:asciiTheme="majorEastAsia" w:hAnsiTheme="majorEastAsia" w:eastAsiaTheme="majorEastAsia"/>
          <w:shd w:val="clear" w:color="auto" w:fill="FFFFFF"/>
        </w:rPr>
        <w:t>（5）报名环节所需要的相关资料需以</w:t>
      </w:r>
      <w:r>
        <w:rPr>
          <w:rFonts w:hint="eastAsia" w:cs="宋体" w:asciiTheme="majorEastAsia" w:hAnsiTheme="majorEastAsia" w:eastAsiaTheme="majorEastAsia"/>
          <w:shd w:val="clear" w:color="auto" w:fill="FFFFFF"/>
        </w:rPr>
        <w:t>原件扫描</w:t>
      </w:r>
      <w:r>
        <w:rPr>
          <w:rFonts w:hint="eastAsia" w:asciiTheme="majorEastAsia" w:hAnsiTheme="majorEastAsia" w:eastAsiaTheme="majorEastAsia"/>
          <w:shd w:val="clear" w:color="auto" w:fill="FFFFFF"/>
        </w:rPr>
        <w:t>件</w:t>
      </w:r>
      <w:r>
        <w:rPr>
          <w:rFonts w:hint="eastAsia" w:cs="宋体" w:asciiTheme="majorEastAsia" w:hAnsiTheme="majorEastAsia" w:eastAsiaTheme="majorEastAsia"/>
          <w:shd w:val="clear" w:color="auto" w:fill="FFFFFF"/>
        </w:rPr>
        <w:t>或照片的形式上传</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w:t>
      </w:r>
      <w:r>
        <w:rPr>
          <w:rFonts w:hint="eastAsia" w:asciiTheme="majorEastAsia" w:hAnsiTheme="majorEastAsia" w:eastAsiaTheme="majorEastAsia"/>
          <w:shd w:val="clear" w:color="auto" w:fill="FFFFFF"/>
        </w:rPr>
        <w:t>须确保相关资料的清晰、完整、准确，</w:t>
      </w:r>
      <w:r>
        <w:rPr>
          <w:rFonts w:hint="eastAsia" w:cs="宋体" w:asciiTheme="majorEastAsia" w:hAnsiTheme="majorEastAsia" w:eastAsiaTheme="majorEastAsia"/>
          <w:shd w:val="clear" w:color="auto" w:fill="FFFFFF"/>
        </w:rPr>
        <w:t>否则导致的后果由竞买人自行承担。</w:t>
      </w:r>
    </w:p>
    <w:p w14:paraId="473C0D6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第四条 竞买人在公告规定的看样时间内，有权进行实地查看，充分了解标的物的情况,</w:t>
      </w:r>
      <w:r>
        <w:rPr>
          <w:rFonts w:hint="eastAsia" w:cs="宋体" w:asciiTheme="majorEastAsia" w:hAnsiTheme="majorEastAsia" w:eastAsiaTheme="majorEastAsia"/>
          <w:b/>
          <w:bCs/>
          <w:sz w:val="24"/>
        </w:rPr>
        <w:t>参与标的竞拍人需认可标的物的现状和周边环境</w:t>
      </w:r>
      <w:r>
        <w:rPr>
          <w:rFonts w:hint="eastAsia" w:cs="宋体" w:asciiTheme="majorEastAsia" w:hAnsiTheme="majorEastAsia" w:eastAsiaTheme="majorEastAsia"/>
          <w:sz w:val="24"/>
        </w:rPr>
        <w:t>。</w:t>
      </w:r>
    </w:p>
    <w:p w14:paraId="0E030C71">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7D82480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第六条 凡是符合国家法律、法规的法人或自然人均可参加竞买。</w:t>
      </w:r>
      <w:r>
        <w:rPr>
          <w:rFonts w:hint="eastAsia" w:cs="宋体" w:asciiTheme="majorEastAsia" w:hAnsiTheme="majorEastAsia" w:eastAsiaTheme="majorEastAsia"/>
          <w:b/>
          <w:bCs/>
          <w:sz w:val="24"/>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ajorEastAsia" w:hAnsiTheme="majorEastAsia" w:eastAsiaTheme="majorEastAsia"/>
          <w:sz w:val="24"/>
        </w:rPr>
        <w:t>。竞买人须凭以上相关材料才能领取号牌进入拍卖会场。号牌应本人使用,不得转借他人。如出现转借情况并由此拍卖成交的,视作竞买人对使用者的授权,由此产生的责任由登记的竞买人承担。</w:t>
      </w:r>
    </w:p>
    <w:p w14:paraId="17904BF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D0445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2F199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第九条 竞买人必须严格遵守拍卖会场的公共秩序，不得相互通告或商讨报价。</w:t>
      </w:r>
    </w:p>
    <w:p w14:paraId="1DFD3175">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第十条 在拍卖会开始前，委托人有权撤回或暂停拍品的拍卖。如遇此情况，委托人、拍卖人不承担任何法律责任，竞买人所交保证金全额无息退还。</w:t>
      </w:r>
    </w:p>
    <w:p w14:paraId="310A40F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0817029C">
      <w:pPr>
        <w:spacing w:line="480" w:lineRule="exact"/>
        <w:ind w:firstLine="482"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第十二条 本项目无需缴纳交易服务费</w:t>
      </w:r>
      <w:r>
        <w:rPr>
          <w:rFonts w:hint="eastAsia" w:cs="宋体" w:asciiTheme="majorEastAsia" w:hAnsiTheme="majorEastAsia" w:eastAsiaTheme="majorEastAsia"/>
          <w:sz w:val="24"/>
        </w:rPr>
        <w:t>。</w:t>
      </w:r>
    </w:p>
    <w:p w14:paraId="76A20FA6">
      <w:pPr>
        <w:spacing w:line="480" w:lineRule="exact"/>
        <w:ind w:firstLine="480" w:firstLineChars="200"/>
        <w:rPr>
          <w:rFonts w:cs="宋体" w:asciiTheme="majorEastAsia" w:hAnsiTheme="majorEastAsia" w:eastAsiaTheme="majorEastAsia"/>
          <w:sz w:val="24"/>
        </w:rPr>
      </w:pPr>
      <w:bookmarkStart w:id="4" w:name="_Hlk154155731"/>
      <w:r>
        <w:rPr>
          <w:rFonts w:hint="eastAsia" w:cs="宋体" w:asciiTheme="majorEastAsia" w:hAnsiTheme="majorEastAsia" w:eastAsiaTheme="majorEastAsia"/>
          <w:sz w:val="24"/>
        </w:rPr>
        <w:t>第十三条 拍卖成交后，</w:t>
      </w:r>
      <w:r>
        <w:rPr>
          <w:rFonts w:hint="eastAsia" w:cs="宋体" w:asciiTheme="majorEastAsia" w:hAnsiTheme="majorEastAsia" w:eastAsiaTheme="majorEastAsia"/>
          <w:bCs/>
          <w:sz w:val="24"/>
        </w:rPr>
        <w:t>买受人须按拍卖成交价两年的</w:t>
      </w:r>
      <w:r>
        <w:rPr>
          <w:rFonts w:hint="eastAsia" w:cs="宋体" w:asciiTheme="majorEastAsia" w:hAnsiTheme="majorEastAsia" w:eastAsiaTheme="majorEastAsia"/>
          <w:bCs/>
          <w:sz w:val="24"/>
          <w:u w:val="single"/>
        </w:rPr>
        <w:t>5</w:t>
      </w:r>
      <w:r>
        <w:rPr>
          <w:rFonts w:hint="eastAsia" w:cs="宋体" w:asciiTheme="majorEastAsia" w:hAnsiTheme="majorEastAsia" w:eastAsiaTheme="majorEastAsia"/>
          <w:bCs/>
          <w:sz w:val="24"/>
        </w:rPr>
        <w:t xml:space="preserve"> %交</w:t>
      </w:r>
      <w:r>
        <w:rPr>
          <w:rFonts w:hint="eastAsia" w:cs="宋体" w:asciiTheme="majorEastAsia" w:hAnsiTheme="majorEastAsia" w:eastAsiaTheme="majorEastAsia"/>
          <w:sz w:val="24"/>
        </w:rPr>
        <w:t>纳拍卖佣金</w:t>
      </w:r>
      <w:bookmarkEnd w:id="4"/>
      <w:r>
        <w:rPr>
          <w:rFonts w:hint="eastAsia" w:cs="宋体" w:asciiTheme="majorEastAsia" w:hAnsiTheme="majorEastAsia" w:eastAsiaTheme="majorEastAsia"/>
          <w:sz w:val="24"/>
        </w:rPr>
        <w:t>，自成交之日起5个工作日内交清</w:t>
      </w:r>
      <w:r>
        <w:rPr>
          <w:rFonts w:hint="eastAsia" w:cs="宋体" w:asciiTheme="majorEastAsia" w:hAnsiTheme="majorEastAsia" w:eastAsiaTheme="majorEastAsia"/>
          <w:b/>
          <w:bCs/>
          <w:sz w:val="24"/>
        </w:rPr>
        <w:t>拍卖成交价款、租赁押金（如有）及拍卖佣金</w:t>
      </w:r>
      <w:r>
        <w:rPr>
          <w:rFonts w:hint="eastAsia" w:cs="宋体" w:asciiTheme="majorEastAsia" w:hAnsiTheme="majorEastAsia" w:eastAsiaTheme="majorEastAsia"/>
          <w:sz w:val="24"/>
        </w:rPr>
        <w:t>（详见缴款流程），并以到账时间为准。</w:t>
      </w:r>
    </w:p>
    <w:p w14:paraId="458B4B4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55A1610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第十四条 拍卖成交后,拍卖人向买受人提供拍卖成交确认书和佣金票据,委托人向买受人提供成交额票据。</w:t>
      </w:r>
    </w:p>
    <w:p w14:paraId="0A4BA55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第十五条 拍卖成交后，买受人须在已交清全部款项后5个工作日内，按委托人要求签订</w:t>
      </w:r>
      <w:r>
        <w:rPr>
          <w:rFonts w:hint="eastAsia" w:asciiTheme="majorEastAsia" w:hAnsiTheme="majorEastAsia" w:eastAsiaTheme="majorEastAsia"/>
          <w:sz w:val="24"/>
        </w:rPr>
        <w:t>《房屋租赁合同》和《资产安全管理协议》（详见附件</w:t>
      </w:r>
      <w:r>
        <w:rPr>
          <w:rFonts w:asciiTheme="majorEastAsia" w:hAnsiTheme="majorEastAsia" w:eastAsiaTheme="majorEastAsia"/>
          <w:sz w:val="24"/>
        </w:rPr>
        <w:t>1</w:t>
      </w:r>
      <w:r>
        <w:rPr>
          <w:rFonts w:hint="eastAsia" w:asciiTheme="majorEastAsia" w:hAnsiTheme="majorEastAsia" w:eastAsiaTheme="majorEastAsia"/>
          <w:sz w:val="24"/>
        </w:rPr>
        <w:t>）</w:t>
      </w:r>
      <w:r>
        <w:rPr>
          <w:rFonts w:hint="eastAsia" w:cs="宋体" w:asciiTheme="majorEastAsia" w:hAnsiTheme="majorEastAsia" w:eastAsiaTheme="majorEastAsia"/>
          <w:sz w:val="24"/>
        </w:rPr>
        <w:t>。由委托人和买受人办理拍卖标的物的交付手续（拍品按现状交付，如出现包括但不限于房屋渗漏等情形，由买受人自行负责，本公司不承担拍品的已知和未知的瑕疵担保责任）。</w:t>
      </w:r>
    </w:p>
    <w:p w14:paraId="684E0D9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第十六条 当竞买人出现下列情形时，交易保证金不予退还：</w:t>
      </w:r>
    </w:p>
    <w:p w14:paraId="7FADDD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（一）竞买人故意提供虚假、失实材料使委托人受损的；</w:t>
      </w:r>
    </w:p>
    <w:p w14:paraId="4B6BBAE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（二）竞买人通过获取委托人商业秘密或有恶意串通、操纵、垄断等影响公平竞争的行为，侵害委托人合法权益的；</w:t>
      </w:r>
    </w:p>
    <w:p w14:paraId="6E9477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（三）竞买人阻挠他人竞价，影响拍卖流程正常进行的；</w:t>
      </w:r>
    </w:p>
    <w:p w14:paraId="5F2494B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（四）竞买人无故不推进交易或无故放弃受让的；</w:t>
      </w:r>
    </w:p>
    <w:p w14:paraId="37C52E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（五）竞买人违反交易合同或协议约定的；</w:t>
      </w:r>
    </w:p>
    <w:p w14:paraId="5CA289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（六）竞买人违反法律法规或相关规定给委托人造成损失的；</w:t>
      </w:r>
    </w:p>
    <w:p w14:paraId="07C99E0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（七）信息披露公告中约定的交易保证金不予退还的其他情形。</w:t>
      </w:r>
    </w:p>
    <w:p w14:paraId="3A686CD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交易保证金金额不足以弥补损失的，委托人</w:t>
      </w:r>
      <w:r>
        <w:rPr>
          <w:rFonts w:cs="宋体" w:asciiTheme="majorEastAsia" w:hAnsiTheme="majorEastAsia" w:eastAsiaTheme="majorEastAsia"/>
          <w:sz w:val="24"/>
        </w:rPr>
        <w:t>可以向有过错的</w:t>
      </w:r>
      <w:r>
        <w:rPr>
          <w:rFonts w:hint="eastAsia" w:cs="宋体" w:asciiTheme="majorEastAsia" w:hAnsiTheme="majorEastAsia" w:eastAsiaTheme="majorEastAsia"/>
          <w:sz w:val="24"/>
        </w:rPr>
        <w:t>竞买人</w:t>
      </w:r>
      <w:r>
        <w:rPr>
          <w:rFonts w:cs="宋体" w:asciiTheme="majorEastAsia" w:hAnsiTheme="majorEastAsia" w:eastAsiaTheme="majorEastAsia"/>
          <w:sz w:val="24"/>
        </w:rPr>
        <w:t>进行追偿。</w:t>
      </w:r>
    </w:p>
    <w:p w14:paraId="0BB50E7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第十七条 拍卖保证金处置：</w:t>
      </w:r>
    </w:p>
    <w:p w14:paraId="7699730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（一）买受人在规定时间内付清全部款项后，拍卖公司在收到拍卖成交款票据、拍卖佣金票据等凭证后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个工作日内上传相关凭证并发起保证金退还申请，交易中心在收到申请后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4D8F41F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（二）竞买不成功的，拍卖公司在交易完成后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605F28C9">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（三）当竞买人出现第十六条第一款情形或买受人未按照约定支付价款的，交易中心将依据信息披露公告内容及相关约定，将不予退还的交易保证金交由委托人处置。</w:t>
      </w:r>
    </w:p>
    <w:p w14:paraId="27A40F2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第十八条 本次拍品拍卖时的起拍价、成交价均不含拍卖人在竞得后所需支付的包括但不限于佣金、安装、交接、物业费、水、电、气、清场费等发生的一切相关费用和税费。</w:t>
      </w:r>
    </w:p>
    <w:p w14:paraId="0902260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第十九条 本规则未明示的拍品不明瑕疵与委托人及拍卖人无关。</w:t>
      </w:r>
    </w:p>
    <w:p w14:paraId="46AE8D1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第二十条 本规则未尽事宜，按《中华人民共和国拍卖法》及相关法律法规规定执行。</w:t>
      </w:r>
    </w:p>
    <w:p w14:paraId="52DCD451">
      <w:pPr>
        <w:spacing w:line="480" w:lineRule="exact"/>
        <w:ind w:firstLine="480" w:firstLineChars="200"/>
        <w:rPr>
          <w:rFonts w:cs="宋体" w:asciiTheme="majorEastAsia" w:hAnsiTheme="majorEastAsia" w:eastAsiaTheme="majorEastAsia"/>
          <w:sz w:val="24"/>
        </w:rPr>
      </w:pPr>
    </w:p>
    <w:p w14:paraId="4E4D12D6">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 xml:space="preserve">  </w:t>
      </w:r>
      <w:r>
        <w:rPr>
          <w:rFonts w:cs="宋体" w:asciiTheme="majorEastAsia" w:hAnsiTheme="majorEastAsia" w:eastAsiaTheme="majorEastAsia"/>
          <w:sz w:val="24"/>
        </w:rPr>
        <w:t xml:space="preserve">                                          </w:t>
      </w:r>
      <w:r>
        <w:rPr>
          <w:rFonts w:hint="eastAsia" w:cs="宋体" w:asciiTheme="majorEastAsia" w:hAnsiTheme="majorEastAsia" w:eastAsiaTheme="majorEastAsia"/>
          <w:sz w:val="24"/>
        </w:rPr>
        <w:t xml:space="preserve">  </w:t>
      </w:r>
      <w:r>
        <w:rPr>
          <w:rFonts w:hint="eastAsia" w:cs="宋体" w:asciiTheme="majorEastAsia" w:hAnsiTheme="majorEastAsia" w:eastAsiaTheme="majorEastAsia"/>
          <w:b/>
          <w:bCs/>
          <w:sz w:val="24"/>
        </w:rPr>
        <w:t>江苏弘盛拍卖有限公司</w:t>
      </w:r>
    </w:p>
    <w:p w14:paraId="5B0BCEFF">
      <w:pPr>
        <w:spacing w:line="480" w:lineRule="exact"/>
        <w:ind w:firstLine="562" w:firstLineChars="200"/>
        <w:rPr>
          <w:rFonts w:ascii="宋体" w:hAnsi="宋体" w:eastAsia="宋体" w:cs="宋体"/>
          <w:b/>
          <w:bCs/>
          <w:spacing w:val="20"/>
          <w:sz w:val="24"/>
        </w:rPr>
      </w:pPr>
    </w:p>
    <w:p w14:paraId="7407DDC1">
      <w:pPr>
        <w:spacing w:line="480" w:lineRule="exact"/>
        <w:ind w:firstLine="562" w:firstLineChars="200"/>
        <w:rPr>
          <w:rFonts w:ascii="宋体" w:hAnsi="宋体" w:eastAsia="宋体" w:cs="宋体"/>
          <w:b/>
          <w:bCs/>
          <w:spacing w:val="20"/>
          <w:sz w:val="24"/>
        </w:rPr>
      </w:pPr>
    </w:p>
    <w:p w14:paraId="34A2C48C">
      <w:pPr>
        <w:spacing w:line="480" w:lineRule="exact"/>
        <w:ind w:firstLine="562" w:firstLineChars="200"/>
        <w:rPr>
          <w:rFonts w:ascii="宋体" w:hAnsi="宋体" w:eastAsia="宋体" w:cs="宋体"/>
          <w:b/>
          <w:bCs/>
          <w:spacing w:val="20"/>
          <w:sz w:val="24"/>
        </w:rPr>
      </w:pPr>
      <w:r>
        <w:rPr>
          <w:rFonts w:hint="eastAsia" w:ascii="宋体" w:hAnsi="宋体" w:eastAsia="宋体" w:cs="宋体"/>
          <w:b/>
          <w:bCs/>
          <w:spacing w:val="20"/>
          <w:sz w:val="24"/>
        </w:rPr>
        <w:t>竞买人对以上内容应仔细阅读，在确认已充分知晓并理解各条款之确切含义及相应法律责任后签字确认：</w:t>
      </w:r>
    </w:p>
    <w:p w14:paraId="26A6B666">
      <w:pPr>
        <w:spacing w:line="400" w:lineRule="exact"/>
        <w:rPr>
          <w:rFonts w:ascii="宋体" w:hAnsi="宋体" w:eastAsia="宋体" w:cs="宋体"/>
          <w:sz w:val="24"/>
        </w:rPr>
      </w:pPr>
    </w:p>
    <w:p w14:paraId="786631C9">
      <w:pPr>
        <w:spacing w:line="400" w:lineRule="exact"/>
        <w:rPr>
          <w:rFonts w:ascii="宋体" w:hAnsi="宋体" w:eastAsia="宋体" w:cs="宋体"/>
          <w:sz w:val="24"/>
        </w:rPr>
      </w:pPr>
    </w:p>
    <w:p w14:paraId="09D67C6C">
      <w:pPr>
        <w:spacing w:line="400" w:lineRule="exact"/>
        <w:rPr>
          <w:rFonts w:ascii="宋体" w:hAnsi="宋体" w:eastAsia="宋体" w:cs="宋体"/>
          <w:sz w:val="24"/>
        </w:rPr>
      </w:pPr>
    </w:p>
    <w:p w14:paraId="1F0CCBC8">
      <w:pPr>
        <w:wordWrap w:val="0"/>
        <w:spacing w:line="400" w:lineRule="exact"/>
        <w:jc w:val="right"/>
        <w:rPr>
          <w:rFonts w:ascii="宋体" w:hAnsi="宋体" w:eastAsia="宋体" w:cs="宋体"/>
          <w:sz w:val="24"/>
        </w:rPr>
      </w:pPr>
      <w:r>
        <w:rPr>
          <w:rFonts w:hint="eastAsia" w:ascii="宋体" w:hAnsi="宋体" w:eastAsia="宋体" w:cs="宋体"/>
          <w:sz w:val="24"/>
        </w:rPr>
        <w:t xml:space="preserve">年   月 </w:t>
      </w:r>
      <w:r>
        <w:rPr>
          <w:rFonts w:ascii="宋体" w:hAnsi="宋体" w:eastAsia="宋体" w:cs="宋体"/>
          <w:sz w:val="24"/>
        </w:rPr>
        <w:t xml:space="preserve">   </w:t>
      </w:r>
      <w:r>
        <w:rPr>
          <w:rFonts w:hint="eastAsia" w:ascii="宋体" w:hAnsi="宋体" w:eastAsia="宋体" w:cs="宋体"/>
          <w:sz w:val="24"/>
        </w:rPr>
        <w:t xml:space="preserve">日 </w:t>
      </w:r>
    </w:p>
    <w:p w14:paraId="6EBD7280">
      <w:pPr>
        <w:spacing w:line="400" w:lineRule="exact"/>
        <w:jc w:val="right"/>
        <w:rPr>
          <w:rFonts w:ascii="宋体" w:hAnsi="宋体" w:eastAsia="宋体" w:cs="宋体"/>
          <w:sz w:val="24"/>
        </w:rPr>
      </w:pPr>
    </w:p>
    <w:p w14:paraId="7D67EF99">
      <w:pPr>
        <w:spacing w:line="400" w:lineRule="exact"/>
        <w:rPr>
          <w:rFonts w:ascii="宋体" w:hAnsi="宋体" w:eastAsia="宋体" w:cs="宋体"/>
          <w:sz w:val="24"/>
        </w:rPr>
      </w:pPr>
      <w:r>
        <w:rPr>
          <w:rFonts w:hint="eastAsia" w:ascii="宋体" w:hAnsi="宋体" w:eastAsia="宋体" w:cs="宋体"/>
          <w:sz w:val="24"/>
        </w:rPr>
        <w:t xml:space="preserve">  </w:t>
      </w:r>
    </w:p>
    <w:p w14:paraId="384F27B0">
      <w:pPr>
        <w:spacing w:line="400" w:lineRule="exact"/>
        <w:rPr>
          <w:rFonts w:ascii="宋体" w:hAnsi="宋体" w:eastAsia="宋体" w:cs="宋体"/>
          <w:b/>
          <w:kern w:val="0"/>
          <w:sz w:val="24"/>
          <w:lang w:bidi="ar"/>
        </w:rPr>
      </w:pPr>
    </w:p>
    <w:p w14:paraId="1B8B71B4">
      <w:pPr>
        <w:spacing w:line="400" w:lineRule="exact"/>
        <w:rPr>
          <w:rFonts w:ascii="宋体" w:hAnsi="宋体" w:eastAsia="宋体" w:cs="宋体"/>
          <w:b/>
          <w:kern w:val="0"/>
          <w:sz w:val="24"/>
          <w:lang w:bidi="ar"/>
        </w:rPr>
      </w:pPr>
    </w:p>
    <w:p w14:paraId="76912B72">
      <w:pPr>
        <w:spacing w:line="400" w:lineRule="exact"/>
        <w:rPr>
          <w:rFonts w:ascii="宋体" w:hAnsi="宋体" w:eastAsia="宋体" w:cs="宋体"/>
          <w:b/>
          <w:kern w:val="0"/>
          <w:sz w:val="24"/>
          <w:lang w:bidi="ar"/>
        </w:rPr>
      </w:pPr>
    </w:p>
    <w:p w14:paraId="7AA714B4">
      <w:pPr>
        <w:spacing w:line="400" w:lineRule="exact"/>
        <w:rPr>
          <w:rFonts w:ascii="宋体" w:hAnsi="宋体" w:eastAsia="宋体" w:cs="宋体"/>
          <w:b/>
          <w:kern w:val="0"/>
          <w:sz w:val="24"/>
          <w:lang w:bidi="ar"/>
        </w:rPr>
      </w:pPr>
    </w:p>
    <w:p w14:paraId="01CD5BF4">
      <w:pPr>
        <w:spacing w:line="400" w:lineRule="exact"/>
        <w:rPr>
          <w:rFonts w:ascii="宋体" w:hAnsi="宋体" w:eastAsia="宋体" w:cs="宋体"/>
          <w:b/>
          <w:kern w:val="0"/>
          <w:sz w:val="24"/>
          <w:lang w:bidi="ar"/>
        </w:rPr>
      </w:pPr>
    </w:p>
    <w:p w14:paraId="34F52D35">
      <w:pPr>
        <w:spacing w:line="400" w:lineRule="exact"/>
        <w:rPr>
          <w:rFonts w:ascii="宋体" w:hAnsi="宋体" w:eastAsia="宋体" w:cs="宋体"/>
          <w:b/>
          <w:kern w:val="0"/>
          <w:sz w:val="24"/>
          <w:lang w:bidi="ar"/>
        </w:rPr>
      </w:pPr>
    </w:p>
    <w:p w14:paraId="073760B1">
      <w:pPr>
        <w:spacing w:line="400" w:lineRule="exact"/>
        <w:rPr>
          <w:rFonts w:ascii="宋体" w:hAnsi="宋体" w:eastAsia="宋体" w:cs="宋体"/>
          <w:b/>
          <w:kern w:val="0"/>
          <w:sz w:val="24"/>
          <w:lang w:bidi="ar"/>
        </w:rPr>
      </w:pPr>
    </w:p>
    <w:p w14:paraId="08110A7D">
      <w:pPr>
        <w:spacing w:line="400" w:lineRule="exact"/>
        <w:rPr>
          <w:rFonts w:ascii="宋体" w:hAnsi="宋体" w:eastAsia="宋体" w:cs="宋体"/>
          <w:b/>
          <w:kern w:val="0"/>
          <w:sz w:val="24"/>
          <w:lang w:bidi="ar"/>
        </w:rPr>
      </w:pPr>
    </w:p>
    <w:p w14:paraId="0EA555CC">
      <w:pPr>
        <w:spacing w:line="400" w:lineRule="exact"/>
        <w:rPr>
          <w:rFonts w:ascii="宋体" w:hAnsi="宋体" w:eastAsia="宋体" w:cs="宋体"/>
          <w:b/>
          <w:kern w:val="0"/>
          <w:sz w:val="24"/>
          <w:lang w:bidi="ar"/>
        </w:rPr>
      </w:pPr>
    </w:p>
    <w:p w14:paraId="12D3D5EF">
      <w:pPr>
        <w:spacing w:line="400" w:lineRule="exact"/>
        <w:rPr>
          <w:rFonts w:ascii="宋体" w:hAnsi="宋体" w:eastAsia="宋体" w:cs="宋体"/>
          <w:b/>
          <w:kern w:val="0"/>
          <w:sz w:val="24"/>
          <w:lang w:bidi="ar"/>
        </w:rPr>
      </w:pPr>
    </w:p>
    <w:p w14:paraId="54A4BCC9">
      <w:pPr>
        <w:spacing w:line="400" w:lineRule="exact"/>
        <w:rPr>
          <w:rFonts w:ascii="宋体" w:hAnsi="宋体" w:eastAsia="宋体" w:cs="宋体"/>
          <w:b/>
          <w:kern w:val="0"/>
          <w:sz w:val="24"/>
          <w:lang w:bidi="ar"/>
        </w:rPr>
      </w:pPr>
    </w:p>
    <w:p w14:paraId="7ACA583C">
      <w:pPr>
        <w:spacing w:line="400" w:lineRule="exact"/>
        <w:rPr>
          <w:rFonts w:ascii="宋体" w:hAnsi="宋体" w:eastAsia="宋体" w:cs="宋体"/>
          <w:b/>
          <w:kern w:val="0"/>
          <w:sz w:val="24"/>
          <w:lang w:bidi="ar"/>
        </w:rPr>
      </w:pPr>
    </w:p>
    <w:p w14:paraId="7C82CE67">
      <w:pPr>
        <w:spacing w:line="400" w:lineRule="exact"/>
        <w:rPr>
          <w:rFonts w:ascii="宋体" w:hAnsi="宋体" w:eastAsia="宋体" w:cs="宋体"/>
          <w:b/>
          <w:kern w:val="0"/>
          <w:sz w:val="24"/>
          <w:lang w:bidi="ar"/>
        </w:rPr>
      </w:pPr>
    </w:p>
    <w:p w14:paraId="48CD8103">
      <w:pPr>
        <w:spacing w:line="400" w:lineRule="exact"/>
        <w:rPr>
          <w:rFonts w:ascii="宋体" w:hAnsi="宋体" w:eastAsia="宋体" w:cs="宋体"/>
          <w:b/>
          <w:kern w:val="0"/>
          <w:sz w:val="24"/>
          <w:lang w:bidi="ar"/>
        </w:rPr>
      </w:pPr>
    </w:p>
    <w:p w14:paraId="3006CA57">
      <w:pPr>
        <w:spacing w:line="400" w:lineRule="exact"/>
        <w:rPr>
          <w:rFonts w:ascii="宋体" w:hAnsi="宋体" w:eastAsia="宋体" w:cs="宋体"/>
          <w:b/>
          <w:kern w:val="0"/>
          <w:sz w:val="24"/>
          <w:lang w:bidi="ar"/>
        </w:rPr>
      </w:pPr>
    </w:p>
    <w:p w14:paraId="33DC5DE0">
      <w:pPr>
        <w:spacing w:line="400" w:lineRule="exact"/>
        <w:rPr>
          <w:rFonts w:ascii="宋体" w:hAnsi="宋体" w:eastAsia="宋体" w:cs="宋体"/>
          <w:b/>
          <w:kern w:val="0"/>
          <w:sz w:val="24"/>
          <w:lang w:bidi="ar"/>
        </w:rPr>
      </w:pPr>
    </w:p>
    <w:p w14:paraId="0B34CE09">
      <w:pPr>
        <w:spacing w:line="400" w:lineRule="exact"/>
        <w:rPr>
          <w:rFonts w:hint="eastAsia" w:ascii="宋体" w:hAnsi="宋体" w:eastAsia="宋体" w:cs="宋体"/>
          <w:b/>
          <w:kern w:val="0"/>
          <w:sz w:val="24"/>
          <w:lang w:bidi="ar"/>
        </w:rPr>
      </w:pPr>
    </w:p>
    <w:p w14:paraId="4AA68C16">
      <w:pPr>
        <w:spacing w:line="400" w:lineRule="exact"/>
        <w:rPr>
          <w:rFonts w:hint="eastAsia" w:ascii="宋体" w:hAnsi="宋体" w:eastAsia="宋体" w:cs="宋体"/>
          <w:b/>
          <w:kern w:val="0"/>
          <w:sz w:val="24"/>
          <w:lang w:bidi="ar"/>
        </w:rPr>
      </w:pPr>
    </w:p>
    <w:p w14:paraId="4790E786">
      <w:pPr>
        <w:spacing w:line="400" w:lineRule="exact"/>
        <w:rPr>
          <w:rFonts w:ascii="宋体" w:hAnsi="宋体"/>
          <w:bCs/>
          <w:sz w:val="32"/>
          <w:szCs w:val="32"/>
        </w:rPr>
      </w:pPr>
      <w:r>
        <w:rPr>
          <w:rFonts w:hint="eastAsia" w:ascii="宋体" w:hAnsi="宋体" w:eastAsia="宋体" w:cs="宋体"/>
          <w:b/>
          <w:kern w:val="0"/>
          <w:sz w:val="24"/>
          <w:lang w:bidi="ar"/>
        </w:rPr>
        <w:t>附件</w:t>
      </w:r>
      <w:r>
        <w:rPr>
          <w:rFonts w:ascii="宋体" w:hAnsi="宋体" w:eastAsia="宋体" w:cs="宋体"/>
          <w:b/>
          <w:kern w:val="0"/>
          <w:sz w:val="24"/>
          <w:lang w:bidi="ar"/>
        </w:rPr>
        <w:t>1</w:t>
      </w:r>
      <w:r>
        <w:rPr>
          <w:rFonts w:hint="eastAsia" w:ascii="宋体" w:hAnsi="宋体" w:eastAsia="宋体" w:cs="宋体"/>
          <w:b/>
          <w:kern w:val="0"/>
          <w:sz w:val="24"/>
          <w:lang w:bidi="ar"/>
        </w:rPr>
        <w:t>：</w:t>
      </w:r>
    </w:p>
    <w:p w14:paraId="47FEA2A4">
      <w:pPr>
        <w:autoSpaceDE w:val="0"/>
        <w:spacing w:line="360" w:lineRule="exact"/>
        <w:jc w:val="center"/>
        <w:rPr>
          <w:rFonts w:ascii="宋体" w:hAnsi="宋体" w:eastAsia="宋体" w:cs="Times New Roman"/>
          <w:bCs/>
          <w:sz w:val="32"/>
          <w:szCs w:val="32"/>
        </w:rPr>
      </w:pPr>
      <w:r>
        <w:rPr>
          <w:rFonts w:ascii="仿宋" w:hAnsi="仿宋" w:eastAsia="仿宋"/>
          <w:sz w:val="24"/>
        </w:rPr>
        <w:t xml:space="preserve">               </w:t>
      </w:r>
      <w:r>
        <w:rPr>
          <w:rFonts w:hint="eastAsia" w:ascii="宋体" w:hAnsi="宋体"/>
          <w:bCs/>
          <w:sz w:val="32"/>
          <w:szCs w:val="32"/>
        </w:rPr>
        <w:t>房 屋 租 赁 合 同（模板10.0）</w:t>
      </w:r>
    </w:p>
    <w:p w14:paraId="2792DEFD">
      <w:pPr>
        <w:autoSpaceDE w:val="0"/>
        <w:spacing w:line="360" w:lineRule="exact"/>
        <w:jc w:val="center"/>
        <w:rPr>
          <w:rFonts w:ascii="宋体" w:hAnsi="宋体"/>
          <w:sz w:val="36"/>
          <w:szCs w:val="36"/>
        </w:rPr>
      </w:pPr>
      <w:r>
        <w:rPr>
          <w:rFonts w:hint="eastAsia" w:ascii="宋体" w:hAnsi="宋体"/>
          <w:sz w:val="36"/>
          <w:szCs w:val="36"/>
        </w:rPr>
        <w:t xml:space="preserve"> </w:t>
      </w:r>
    </w:p>
    <w:p w14:paraId="7ADDF294">
      <w:pPr>
        <w:autoSpaceDE w:val="0"/>
        <w:spacing w:line="320" w:lineRule="exact"/>
        <w:rPr>
          <w:rFonts w:ascii="仿宋" w:hAnsi="仿宋" w:eastAsia="仿宋"/>
          <w:sz w:val="24"/>
          <w:u w:val="single"/>
        </w:rPr>
      </w:pPr>
      <w:r>
        <w:rPr>
          <w:rFonts w:hint="eastAsia" w:ascii="仿宋" w:hAnsi="仿宋" w:eastAsia="仿宋"/>
          <w:sz w:val="24"/>
        </w:rPr>
        <w:t>出租方(以下简称甲方)：</w:t>
      </w:r>
      <w:r>
        <w:rPr>
          <w:rFonts w:hint="eastAsia" w:ascii="仿宋" w:hAnsi="仿宋" w:eastAsia="仿宋"/>
          <w:sz w:val="24"/>
          <w:u w:val="single"/>
        </w:rPr>
        <w:t xml:space="preserve">                    </w:t>
      </w:r>
    </w:p>
    <w:p w14:paraId="577342F6">
      <w:pPr>
        <w:autoSpaceDE w:val="0"/>
        <w:spacing w:line="320" w:lineRule="exact"/>
        <w:rPr>
          <w:rFonts w:ascii="仿宋" w:hAnsi="仿宋" w:eastAsia="仿宋"/>
          <w:sz w:val="24"/>
          <w:u w:val="single"/>
        </w:rPr>
      </w:pPr>
      <w:r>
        <w:rPr>
          <w:rFonts w:hint="eastAsia" w:ascii="仿宋" w:hAnsi="仿宋" w:eastAsia="仿宋"/>
          <w:sz w:val="24"/>
        </w:rPr>
        <w:t>承租方(以下简称乙方)：</w:t>
      </w:r>
      <w:r>
        <w:rPr>
          <w:rFonts w:hint="eastAsia" w:ascii="仿宋" w:hAnsi="仿宋" w:eastAsia="仿宋"/>
          <w:sz w:val="24"/>
          <w:u w:val="single"/>
        </w:rPr>
        <w:t xml:space="preserve">                    </w:t>
      </w:r>
    </w:p>
    <w:p w14:paraId="5F23BA5E">
      <w:pPr>
        <w:autoSpaceDE w:val="0"/>
        <w:spacing w:line="320" w:lineRule="exact"/>
        <w:ind w:firstLine="435"/>
        <w:rPr>
          <w:rFonts w:ascii="仿宋" w:hAnsi="仿宋" w:eastAsia="仿宋"/>
          <w:sz w:val="24"/>
        </w:rPr>
      </w:pPr>
      <w:r>
        <w:rPr>
          <w:rFonts w:hint="eastAsia" w:ascii="仿宋" w:hAnsi="仿宋" w:eastAsia="仿宋"/>
          <w:sz w:val="24"/>
        </w:rPr>
        <w:t>根据《无锡市房屋租赁管理办法》及相关法律规定，甲乙双方经宜兴市公共资源交易中心拍租/平等、自愿的基础上甲方将房屋出租给乙方使用。乙方承租甲方房屋事宜，经协商一致，订立本合同。</w:t>
      </w:r>
    </w:p>
    <w:p w14:paraId="17AB8306">
      <w:pPr>
        <w:autoSpaceDE w:val="0"/>
        <w:spacing w:line="320" w:lineRule="exact"/>
        <w:ind w:firstLine="491" w:firstLineChars="205"/>
        <w:rPr>
          <w:rFonts w:ascii="仿宋" w:hAnsi="仿宋" w:eastAsia="仿宋"/>
          <w:kern w:val="10"/>
          <w:sz w:val="24"/>
        </w:rPr>
      </w:pPr>
      <w:r>
        <w:rPr>
          <w:rFonts w:hint="eastAsia" w:ascii="仿宋" w:hAnsi="仿宋" w:eastAsia="仿宋"/>
          <w:kern w:val="10"/>
          <w:sz w:val="24"/>
        </w:rPr>
        <w:t>1.乙方承租甲方的房屋位于</w:t>
      </w:r>
      <w:r>
        <w:rPr>
          <w:rFonts w:hint="eastAsia" w:ascii="仿宋" w:hAnsi="仿宋" w:eastAsia="仿宋"/>
          <w:kern w:val="10"/>
          <w:sz w:val="24"/>
          <w:u w:val="single"/>
        </w:rPr>
        <w:t xml:space="preserve">                             </w:t>
      </w:r>
      <w:r>
        <w:rPr>
          <w:rFonts w:hint="eastAsia" w:ascii="仿宋" w:hAnsi="仿宋" w:eastAsia="仿宋"/>
          <w:kern w:val="10"/>
          <w:sz w:val="24"/>
        </w:rPr>
        <w:t>，建筑面积</w:t>
      </w:r>
      <w:r>
        <w:rPr>
          <w:rFonts w:hint="eastAsia" w:ascii="仿宋" w:hAnsi="仿宋" w:eastAsia="仿宋"/>
          <w:kern w:val="10"/>
          <w:sz w:val="24"/>
          <w:u w:val="single"/>
        </w:rPr>
        <w:t xml:space="preserve">       </w:t>
      </w:r>
      <w:r>
        <w:rPr>
          <w:rFonts w:hint="eastAsia" w:ascii="仿宋" w:hAnsi="仿宋" w:eastAsia="仿宋"/>
          <w:kern w:val="10"/>
          <w:sz w:val="24"/>
        </w:rPr>
        <w:t>平方米，乙方已现场查看并认可房屋现状；</w:t>
      </w:r>
    </w:p>
    <w:p w14:paraId="1CAB7F6F">
      <w:pPr>
        <w:autoSpaceDE w:val="0"/>
        <w:spacing w:line="320" w:lineRule="exact"/>
        <w:ind w:firstLine="491" w:firstLineChars="205"/>
        <w:rPr>
          <w:rFonts w:ascii="仿宋" w:hAnsi="仿宋" w:eastAsia="仿宋"/>
          <w:sz w:val="24"/>
        </w:rPr>
      </w:pPr>
      <w:r>
        <w:rPr>
          <w:rFonts w:hint="eastAsia" w:ascii="仿宋" w:hAnsi="仿宋" w:eastAsia="仿宋"/>
          <w:sz w:val="24"/>
        </w:rPr>
        <w:t>2.租期</w:t>
      </w:r>
      <w:r>
        <w:rPr>
          <w:rFonts w:hint="eastAsia" w:ascii="仿宋" w:hAnsi="仿宋" w:eastAsia="仿宋"/>
          <w:sz w:val="24"/>
          <w:u w:val="single"/>
        </w:rPr>
        <w:t xml:space="preserve">   </w:t>
      </w:r>
      <w:r>
        <w:rPr>
          <w:rFonts w:hint="eastAsia" w:ascii="仿宋" w:hAnsi="仿宋" w:eastAsia="仿宋"/>
          <w:sz w:val="24"/>
        </w:rPr>
        <w:t>年，自</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日起至</w:t>
      </w:r>
      <w:r>
        <w:rPr>
          <w:rFonts w:hint="eastAsia" w:ascii="仿宋" w:hAnsi="仿宋" w:eastAsia="仿宋"/>
          <w:sz w:val="24"/>
          <w:u w:val="single"/>
        </w:rPr>
        <w:t xml:space="preserve">     </w:t>
      </w:r>
      <w:r>
        <w:rPr>
          <w:rFonts w:hint="eastAsia" w:ascii="仿宋" w:hAnsi="仿宋" w:eastAsia="仿宋"/>
          <w:sz w:val="24"/>
        </w:rPr>
        <w:t xml:space="preserve">年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日止。租期届满，甲方有权收回出租房屋，乙方应如期交还。乙方如要求续租，则必须经市公共资源交易中心拍租/依据规定重新签订合同，同等条件下，乙方享有优先租赁权；</w:t>
      </w:r>
    </w:p>
    <w:p w14:paraId="7AA242F4">
      <w:pPr>
        <w:spacing w:line="320" w:lineRule="exact"/>
        <w:ind w:firstLine="480" w:firstLineChars="200"/>
        <w:rPr>
          <w:rFonts w:ascii="仿宋" w:hAnsi="仿宋" w:eastAsia="仿宋"/>
          <w:sz w:val="24"/>
        </w:rPr>
      </w:pPr>
      <w:r>
        <w:rPr>
          <w:rFonts w:hint="eastAsia" w:ascii="仿宋" w:hAnsi="仿宋" w:eastAsia="仿宋"/>
          <w:sz w:val="24"/>
        </w:rPr>
        <w:t>3.租金实行先付后用、一年一付的原则，</w:t>
      </w:r>
      <w:r>
        <w:rPr>
          <w:rFonts w:hint="eastAsia" w:ascii="仿宋" w:hAnsi="仿宋" w:eastAsia="仿宋"/>
          <w:color w:val="C55A11" w:themeColor="accent2" w:themeShade="BF"/>
          <w:sz w:val="24"/>
        </w:rPr>
        <w:t>□不含税年租金（大写）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元（勾选不含税年租金或年租金）。</w:t>
      </w:r>
      <w:r>
        <w:rPr>
          <w:rFonts w:hint="eastAsia" w:ascii="仿宋" w:hAnsi="仿宋" w:eastAsia="仿宋"/>
          <w:sz w:val="24"/>
        </w:rPr>
        <w:t>乙方应在每年租期开始前1个月一次性交清房屋租赁相关费用；同时乙方需交付保证金</w:t>
      </w:r>
      <w:r>
        <w:rPr>
          <w:rFonts w:hint="eastAsia" w:ascii="仿宋" w:hAnsi="仿宋" w:eastAsia="仿宋"/>
          <w:sz w:val="24"/>
          <w:u w:val="single"/>
        </w:rPr>
        <w:t xml:space="preserve">      </w:t>
      </w:r>
      <w:r>
        <w:rPr>
          <w:rFonts w:hint="eastAsia" w:ascii="仿宋" w:hAnsi="仿宋" w:eastAsia="仿宋"/>
          <w:sz w:val="24"/>
        </w:rPr>
        <w:t>元（保证金大写：</w:t>
      </w:r>
      <w:r>
        <w:rPr>
          <w:rFonts w:hint="eastAsia" w:ascii="仿宋" w:hAnsi="仿宋" w:eastAsia="仿宋"/>
          <w:sz w:val="24"/>
          <w:u w:val="single"/>
        </w:rPr>
        <w:t xml:space="preserve">           </w:t>
      </w:r>
      <w:r>
        <w:rPr>
          <w:rFonts w:hint="eastAsia" w:ascii="仿宋" w:hAnsi="仿宋" w:eastAsia="仿宋"/>
          <w:sz w:val="24"/>
        </w:rPr>
        <w:t>）。</w:t>
      </w:r>
    </w:p>
    <w:p w14:paraId="55464C3E">
      <w:pPr>
        <w:autoSpaceDE w:val="0"/>
        <w:spacing w:line="320" w:lineRule="exact"/>
        <w:ind w:firstLine="480" w:firstLineChars="200"/>
        <w:rPr>
          <w:rFonts w:ascii="仿宋" w:hAnsi="仿宋" w:eastAsia="仿宋"/>
          <w:sz w:val="24"/>
        </w:rPr>
      </w:pPr>
      <w:r>
        <w:rPr>
          <w:rFonts w:hint="eastAsia" w:ascii="仿宋" w:hAnsi="仿宋" w:eastAsia="仿宋"/>
          <w:sz w:val="24"/>
        </w:rPr>
        <w:t>保证金交付标准：</w:t>
      </w:r>
    </w:p>
    <w:p w14:paraId="46592780">
      <w:pPr>
        <w:autoSpaceDE w:val="0"/>
        <w:spacing w:line="320" w:lineRule="exact"/>
        <w:ind w:firstLine="480" w:firstLineChars="200"/>
        <w:rPr>
          <w:rFonts w:ascii="仿宋" w:hAnsi="仿宋" w:eastAsia="仿宋"/>
          <w:sz w:val="24"/>
        </w:rPr>
      </w:pPr>
      <w:r>
        <w:rPr>
          <w:rFonts w:hint="eastAsia" w:ascii="仿宋" w:hAnsi="仿宋" w:eastAsia="仿宋"/>
          <w:sz w:val="24"/>
        </w:rPr>
        <w:t>①年租金5万元以下的（含5万元）按年租金的12%收取；</w:t>
      </w:r>
    </w:p>
    <w:p w14:paraId="37F14A5C">
      <w:pPr>
        <w:autoSpaceDE w:val="0"/>
        <w:spacing w:line="320" w:lineRule="exact"/>
        <w:ind w:firstLine="480" w:firstLineChars="200"/>
        <w:rPr>
          <w:rFonts w:ascii="仿宋" w:hAnsi="仿宋" w:eastAsia="仿宋"/>
          <w:sz w:val="24"/>
        </w:rPr>
      </w:pPr>
      <w:r>
        <w:rPr>
          <w:rFonts w:hint="eastAsia" w:ascii="仿宋" w:hAnsi="仿宋" w:eastAsia="仿宋"/>
          <w:sz w:val="24"/>
        </w:rPr>
        <w:t>②年租金5-10万元的（含10万元）按年租金的10%收取；</w:t>
      </w:r>
    </w:p>
    <w:p w14:paraId="2814F347">
      <w:pPr>
        <w:autoSpaceDE w:val="0"/>
        <w:spacing w:line="320" w:lineRule="exact"/>
        <w:ind w:firstLine="480" w:firstLineChars="200"/>
        <w:rPr>
          <w:rFonts w:ascii="仿宋" w:hAnsi="仿宋" w:eastAsia="仿宋"/>
          <w:sz w:val="24"/>
        </w:rPr>
      </w:pPr>
      <w:r>
        <w:rPr>
          <w:rFonts w:hint="eastAsia" w:ascii="仿宋" w:hAnsi="仿宋" w:eastAsia="仿宋"/>
          <w:sz w:val="24"/>
        </w:rPr>
        <w:t>③年租金10万元以上的按8000元—20000元酌情收取。</w:t>
      </w:r>
    </w:p>
    <w:p w14:paraId="03380939">
      <w:pPr>
        <w:autoSpaceDE w:val="0"/>
        <w:spacing w:line="320" w:lineRule="exact"/>
        <w:ind w:firstLine="480" w:firstLineChars="200"/>
        <w:rPr>
          <w:rFonts w:ascii="仿宋" w:hAnsi="仿宋" w:eastAsia="仿宋"/>
          <w:sz w:val="24"/>
        </w:rPr>
      </w:pPr>
      <w:r>
        <w:rPr>
          <w:rFonts w:hint="eastAsia" w:ascii="仿宋" w:hAnsi="仿宋" w:eastAsia="仿宋"/>
          <w:sz w:val="24"/>
        </w:rPr>
        <w:t>保证金不计利息，租期届满待乙方结清所有费用后由甲方退还乙方。</w:t>
      </w:r>
    </w:p>
    <w:p w14:paraId="3039EFA3">
      <w:pPr>
        <w:autoSpaceDE w:val="0"/>
        <w:spacing w:line="320" w:lineRule="exact"/>
        <w:ind w:firstLine="480" w:firstLineChars="200"/>
        <w:rPr>
          <w:rFonts w:ascii="仿宋" w:hAnsi="仿宋" w:eastAsia="仿宋"/>
          <w:b/>
          <w:bCs/>
          <w:sz w:val="24"/>
        </w:rPr>
      </w:pPr>
      <w:r>
        <w:rPr>
          <w:rFonts w:hint="eastAsia" w:ascii="仿宋" w:hAnsi="仿宋" w:eastAsia="仿宋"/>
          <w:sz w:val="24"/>
        </w:rPr>
        <w:t>4.若乙方逾期支付租金，应按年租金的万分之五每日为标准收取滞纳金；</w:t>
      </w:r>
    </w:p>
    <w:p w14:paraId="0F062B04">
      <w:pPr>
        <w:autoSpaceDE w:val="0"/>
        <w:spacing w:line="320" w:lineRule="exact"/>
        <w:ind w:firstLine="480" w:firstLineChars="200"/>
        <w:rPr>
          <w:rFonts w:ascii="仿宋" w:hAnsi="仿宋" w:eastAsia="仿宋"/>
          <w:sz w:val="24"/>
        </w:rPr>
      </w:pPr>
      <w:r>
        <w:rPr>
          <w:rFonts w:hint="eastAsia" w:ascii="仿宋" w:hAnsi="仿宋" w:eastAsia="仿宋"/>
          <w:sz w:val="24"/>
        </w:rPr>
        <w:t>5.租赁期内，乙方不得随意搭建并有义务阻止他人随意搭建。乙方改造、搭建相关设施，必须征得甲方的书面同意，同时取得合法的审批手续，并签订新建资产日后处置办法的相关协议；</w:t>
      </w:r>
    </w:p>
    <w:p w14:paraId="1B4592AB">
      <w:pPr>
        <w:autoSpaceDE w:val="0"/>
        <w:spacing w:line="320" w:lineRule="exact"/>
        <w:ind w:firstLine="480" w:firstLineChars="200"/>
        <w:rPr>
          <w:rFonts w:ascii="仿宋" w:hAnsi="仿宋" w:eastAsia="仿宋"/>
          <w:sz w:val="24"/>
        </w:rPr>
      </w:pPr>
      <w:r>
        <w:rPr>
          <w:rFonts w:hint="eastAsia" w:ascii="仿宋" w:hAnsi="仿宋" w:eastAsia="仿宋"/>
          <w:sz w:val="24"/>
        </w:rPr>
        <w:t>6.乙方租赁房屋用于居住的，应当以一间原始设计为居住空间的居室为最小居住单位，不得将住房分隔搭建后用于居住。每间居室居住人数不得超过两人（有法定赡养、抚养、扶养义务关系的除外），原始设计为厨房、卫生间、阳台、储藏室、车库等非居住空间的，不得用于居住；</w:t>
      </w:r>
    </w:p>
    <w:p w14:paraId="023E73C0">
      <w:pPr>
        <w:autoSpaceDE w:val="0"/>
        <w:spacing w:line="320" w:lineRule="exact"/>
        <w:ind w:firstLine="480" w:firstLineChars="200"/>
        <w:rPr>
          <w:rFonts w:ascii="仿宋" w:hAnsi="仿宋" w:eastAsia="仿宋"/>
          <w:sz w:val="24"/>
        </w:rPr>
      </w:pPr>
      <w:r>
        <w:rPr>
          <w:rFonts w:hint="eastAsia" w:ascii="仿宋" w:hAnsi="仿宋" w:eastAsia="仿宋"/>
          <w:sz w:val="24"/>
        </w:rPr>
        <w:t>7.乙方租赁房屋用于居住的，居室达到10间以上或者床位达到10个以上、租住人员达到10人以上的，乙方应当建立相应的管理制度，确定管理人员，落实安全责任，登记有关信息，并向甲方和公安机关备案；</w:t>
      </w:r>
    </w:p>
    <w:p w14:paraId="6BD40901">
      <w:pPr>
        <w:autoSpaceDE w:val="0"/>
        <w:spacing w:line="320" w:lineRule="exact"/>
        <w:ind w:firstLine="480" w:firstLineChars="200"/>
        <w:rPr>
          <w:rFonts w:ascii="仿宋" w:hAnsi="仿宋" w:eastAsia="仿宋"/>
          <w:sz w:val="24"/>
        </w:rPr>
      </w:pPr>
      <w:r>
        <w:rPr>
          <w:rFonts w:hint="eastAsia" w:ascii="仿宋" w:hAnsi="仿宋" w:eastAsia="仿宋"/>
          <w:sz w:val="24"/>
        </w:rPr>
        <w:t>8.未经甲方书面同意，乙方如逾期欠交租金或乱搭乱建（内部改造），甲方有权单方终止本合同，自甲方书面通知乙方时，合同即解除，乙方应无条件搬出并承担相应产生的经济责任及法律责任；</w:t>
      </w:r>
    </w:p>
    <w:p w14:paraId="4CAC1DE1">
      <w:pPr>
        <w:autoSpaceDE w:val="0"/>
        <w:spacing w:line="320" w:lineRule="exact"/>
        <w:ind w:firstLine="480" w:firstLineChars="200"/>
        <w:rPr>
          <w:rFonts w:ascii="仿宋" w:hAnsi="仿宋" w:eastAsia="仿宋"/>
          <w:sz w:val="24"/>
        </w:rPr>
      </w:pPr>
      <w:r>
        <w:rPr>
          <w:rFonts w:hint="eastAsia" w:ascii="仿宋" w:hAnsi="仿宋" w:eastAsia="仿宋"/>
          <w:sz w:val="24"/>
        </w:rPr>
        <w:t>9.租赁期内，如任何一方要求终止租赁合同，须提前2个月书面通知另一方，经另一方书面同意，双方即解除合同，提出方应承担相应的违约责任并支付违约金，违约金按照本合同交付的保证金金额计算。不可抗力致本合同无法履行或解除的，互不承担违约责任；</w:t>
      </w:r>
    </w:p>
    <w:p w14:paraId="3BCD9CAA">
      <w:pPr>
        <w:autoSpaceDE w:val="0"/>
        <w:spacing w:line="320" w:lineRule="exact"/>
        <w:ind w:firstLine="480" w:firstLineChars="200"/>
        <w:rPr>
          <w:rFonts w:ascii="仿宋" w:hAnsi="仿宋" w:eastAsia="仿宋"/>
          <w:sz w:val="24"/>
        </w:rPr>
      </w:pPr>
      <w:r>
        <w:rPr>
          <w:rFonts w:hint="eastAsia" w:ascii="仿宋" w:hAnsi="仿宋" w:eastAsia="仿宋"/>
          <w:sz w:val="24"/>
        </w:rPr>
        <w:t>10.乙方应安全合理地使用租赁房屋及设施，发现承租屋有不安全隐患，应当及时告知出租人予以消除，乙方应无条件配合甲方施工改造直至隐患消除为止（因乙方使用不当造成的房屋结构改变及设施损坏产生的安全责任和相关维修费用由乙方承担）；</w:t>
      </w:r>
    </w:p>
    <w:p w14:paraId="4A276FF7">
      <w:pPr>
        <w:autoSpaceDE w:val="0"/>
        <w:spacing w:line="320" w:lineRule="exact"/>
        <w:ind w:firstLine="480" w:firstLineChars="200"/>
        <w:rPr>
          <w:rFonts w:ascii="仿宋" w:hAnsi="仿宋" w:eastAsia="仿宋"/>
          <w:sz w:val="24"/>
        </w:rPr>
      </w:pPr>
      <w:r>
        <w:rPr>
          <w:rFonts w:hint="eastAsia" w:ascii="仿宋" w:hAnsi="仿宋" w:eastAsia="仿宋"/>
          <w:sz w:val="24"/>
        </w:rPr>
        <w:t>11.乙方作为房屋使用主体，负有经常性检查资产完好率的责任和义务。乙方应当采取积极措施确保甲乙双方人、财、物的安全，发生的由于不可抗力或不可预测因素（如漏雨、水管破裂等）给乙方造成损失的，甲方不承担赔偿责任；因乙方原因或责任而引发事故的，其全部经济损失由乙方承担，给甲方造成损失的，乙方需承担赔偿责任和法律责任。</w:t>
      </w:r>
    </w:p>
    <w:p w14:paraId="6678DA7B">
      <w:pPr>
        <w:autoSpaceDE w:val="0"/>
        <w:spacing w:line="320" w:lineRule="exact"/>
        <w:ind w:firstLine="480" w:firstLineChars="200"/>
        <w:rPr>
          <w:rFonts w:ascii="仿宋" w:hAnsi="仿宋" w:eastAsia="仿宋"/>
          <w:sz w:val="24"/>
        </w:rPr>
      </w:pPr>
      <w:r>
        <w:rPr>
          <w:rFonts w:hint="eastAsia" w:ascii="仿宋" w:hAnsi="仿宋" w:eastAsia="仿宋"/>
          <w:sz w:val="24"/>
        </w:rPr>
        <w:t>12.在租赁期内，乙方不得将住宿、生产、经营、仓储在房屋内混乱使用。乙方承租期内产生的一切费用自负，包括水、电、电话、燃气、保洁、物业、治安、有线电视费等等。交接房屋时，双方确认相关读表数。如租期届满相关产生的费用仍未结清的，甲方有权从保证金中扣除；</w:t>
      </w:r>
    </w:p>
    <w:p w14:paraId="3D00418B">
      <w:pPr>
        <w:autoSpaceDE w:val="0"/>
        <w:spacing w:line="320" w:lineRule="exact"/>
        <w:ind w:firstLine="480" w:firstLineChars="200"/>
        <w:rPr>
          <w:rFonts w:ascii="仿宋" w:hAnsi="仿宋" w:eastAsia="仿宋"/>
          <w:b/>
          <w:bCs/>
          <w:sz w:val="24"/>
        </w:rPr>
      </w:pPr>
      <w:r>
        <w:rPr>
          <w:rFonts w:hint="eastAsia" w:ascii="仿宋" w:hAnsi="仿宋" w:eastAsia="仿宋"/>
          <w:sz w:val="24"/>
        </w:rPr>
        <w:t>13.未经甲方书面同意，乙方不得转租房屋（包括部分转租），如发生转租的，甲方有权终止本合同，乙方必须承担相应的违约责任并扣除保证金。乙方不得对租赁物设置抵押担保。房屋装修应当得到甲方书面同意。装修不得改变房屋结构，不得损坏房屋设施。装修前应当办理审批手续，费用由乙方承担，甲方应当做好配合工作。如有人为损坏及遗失物品，则照价赔偿。乙方投入的不能拆除的装修，在租赁关系结束时（除甲方单方违约要解除合同外），无偿归甲方所有（包括乙方违约而依法终止租赁关系的情形）；</w:t>
      </w:r>
    </w:p>
    <w:p w14:paraId="314A3E58">
      <w:pPr>
        <w:autoSpaceDE w:val="0"/>
        <w:spacing w:line="320" w:lineRule="exact"/>
        <w:ind w:firstLine="480" w:firstLineChars="200"/>
        <w:rPr>
          <w:rFonts w:ascii="仿宋" w:hAnsi="仿宋" w:eastAsia="仿宋"/>
          <w:sz w:val="24"/>
        </w:rPr>
      </w:pPr>
      <w:r>
        <w:rPr>
          <w:rFonts w:hint="eastAsia" w:ascii="仿宋" w:hAnsi="仿宋" w:eastAsia="仿宋"/>
          <w:sz w:val="24"/>
        </w:rPr>
        <w:t>14.在租赁期内，如甲方房屋的安全性经鉴定机构鉴定为C级或D级的，甲方有权立即终止合同，乙方应当无条件立即搬离，双方互不承担违约责任；</w:t>
      </w:r>
    </w:p>
    <w:p w14:paraId="53D1DE7F">
      <w:pPr>
        <w:autoSpaceDE w:val="0"/>
        <w:spacing w:line="320" w:lineRule="exact"/>
        <w:ind w:firstLine="480" w:firstLineChars="200"/>
        <w:rPr>
          <w:rFonts w:ascii="仿宋" w:hAnsi="仿宋" w:eastAsia="仿宋"/>
          <w:sz w:val="24"/>
        </w:rPr>
      </w:pPr>
      <w:r>
        <w:rPr>
          <w:rFonts w:hint="eastAsia" w:ascii="仿宋" w:hAnsi="仿宋" w:eastAsia="仿宋"/>
          <w:sz w:val="24"/>
        </w:rPr>
        <w:t>15.在租赁期内，如遇甲方上级主管部门、地方政府整体规划拆迁、调整等不确定因素而影响租赁期限的，甲乙双方应当服从整体规划。若此种情形发生，不视作甲乙双方违约，本合同自行终止；</w:t>
      </w:r>
    </w:p>
    <w:p w14:paraId="57E7C561">
      <w:pPr>
        <w:autoSpaceDE w:val="0"/>
        <w:spacing w:line="320" w:lineRule="exact"/>
        <w:ind w:firstLine="480" w:firstLineChars="200"/>
        <w:rPr>
          <w:rFonts w:ascii="仿宋" w:hAnsi="仿宋" w:eastAsia="仿宋"/>
          <w:sz w:val="24"/>
        </w:rPr>
      </w:pPr>
      <w:r>
        <w:rPr>
          <w:rFonts w:hint="eastAsia" w:ascii="仿宋" w:hAnsi="仿宋" w:eastAsia="仿宋"/>
          <w:sz w:val="24"/>
        </w:rPr>
        <w:t>16.乙方在租赁期内，必须接受有关部门的依法管理。承租的房屋不得用于生产、储存、经营易燃、有毒等危险物品或进行违法活动。消防设施、安全管理、环境保护等由乙方按照消防、应急、生态环境等部门的要求负责落实到位，杜绝事故。一旦发生事故，造成的经济损失、法律责任均由乙方承担。同时，甲方有权终止租赁关系，解除租赁合同，给甲方造成损失的，乙方应当进行赔偿；</w:t>
      </w:r>
    </w:p>
    <w:p w14:paraId="22E82C4B">
      <w:pPr>
        <w:autoSpaceDE w:val="0"/>
        <w:spacing w:line="320" w:lineRule="exact"/>
        <w:ind w:firstLine="480" w:firstLineChars="200"/>
        <w:rPr>
          <w:rFonts w:ascii="仿宋" w:hAnsi="仿宋" w:eastAsia="仿宋"/>
          <w:sz w:val="24"/>
        </w:rPr>
      </w:pPr>
      <w:r>
        <w:rPr>
          <w:rFonts w:hint="eastAsia" w:ascii="仿宋" w:hAnsi="仿宋" w:eastAsia="仿宋"/>
          <w:sz w:val="24"/>
        </w:rPr>
        <w:t>17.乙方通信地址、联系电话变更应及时通知甲方。本合同未尽事宜应由双方协商解决，如协商不成，任何一方可向房屋所在地法院提起诉讼。</w:t>
      </w:r>
    </w:p>
    <w:p w14:paraId="515B2C6E">
      <w:pPr>
        <w:autoSpaceDE w:val="0"/>
        <w:spacing w:line="320" w:lineRule="exact"/>
        <w:ind w:firstLine="480" w:firstLineChars="200"/>
        <w:rPr>
          <w:rFonts w:ascii="仿宋" w:hAnsi="仿宋" w:eastAsia="仿宋"/>
          <w:sz w:val="24"/>
        </w:rPr>
      </w:pPr>
      <w:r>
        <w:rPr>
          <w:rFonts w:hint="eastAsia" w:ascii="仿宋" w:hAnsi="仿宋" w:eastAsia="仿宋"/>
          <w:sz w:val="24"/>
        </w:rPr>
        <w:t>18.合同到期乙方不再续租，在乙方已经付清物业费、垃圾清理费、水电煤费等相关费用后，经甲方对租赁资产验收合格，退还乙方保证金；</w:t>
      </w:r>
    </w:p>
    <w:p w14:paraId="0216095E">
      <w:pPr>
        <w:autoSpaceDE w:val="0"/>
        <w:spacing w:line="320" w:lineRule="exact"/>
        <w:ind w:firstLine="480" w:firstLineChars="200"/>
        <w:rPr>
          <w:rFonts w:ascii="仿宋" w:hAnsi="仿宋" w:eastAsia="仿宋"/>
          <w:sz w:val="24"/>
          <w:u w:val="single"/>
        </w:rPr>
      </w:pPr>
      <w:r>
        <w:rPr>
          <w:rFonts w:hint="eastAsia" w:ascii="仿宋" w:hAnsi="仿宋" w:eastAsia="仿宋"/>
          <w:sz w:val="24"/>
        </w:rPr>
        <w:t>19.其他约定事项：</w:t>
      </w:r>
      <w:r>
        <w:rPr>
          <w:rFonts w:hint="eastAsia" w:ascii="仿宋" w:hAnsi="仿宋" w:eastAsia="仿宋"/>
          <w:sz w:val="24"/>
          <w:u w:val="single"/>
        </w:rPr>
        <w:t xml:space="preserve">                                               </w:t>
      </w:r>
    </w:p>
    <w:p w14:paraId="1F26A1BA">
      <w:pPr>
        <w:autoSpaceDE w:val="0"/>
        <w:spacing w:line="320" w:lineRule="exact"/>
        <w:jc w:val="left"/>
        <w:rPr>
          <w:rFonts w:ascii="仿宋" w:hAnsi="仿宋" w:eastAsia="仿宋"/>
          <w:sz w:val="24"/>
          <w:u w:val="single"/>
        </w:rPr>
      </w:pPr>
      <w:r>
        <w:rPr>
          <w:rFonts w:hint="eastAsia" w:ascii="仿宋" w:hAnsi="仿宋" w:eastAsia="仿宋"/>
          <w:sz w:val="24"/>
          <w:u w:val="single"/>
        </w:rPr>
        <w:t xml:space="preserve">                                                                     </w:t>
      </w:r>
    </w:p>
    <w:p w14:paraId="5505D4C1">
      <w:pPr>
        <w:autoSpaceDE w:val="0"/>
        <w:spacing w:line="320" w:lineRule="exact"/>
        <w:ind w:firstLine="491" w:firstLineChars="205"/>
        <w:rPr>
          <w:rFonts w:ascii="仿宋" w:hAnsi="仿宋" w:eastAsia="仿宋"/>
          <w:sz w:val="24"/>
        </w:rPr>
      </w:pPr>
      <w:r>
        <w:rPr>
          <w:rFonts w:hint="eastAsia" w:ascii="仿宋" w:hAnsi="仿宋" w:eastAsia="仿宋"/>
          <w:sz w:val="24"/>
        </w:rPr>
        <w:t>本合同经甲乙双方签字盖章后生效。本合同一式三份，甲乙双方各执一份，甲方主管部门一份，合同附件与本合同具备同等法律效力。</w:t>
      </w:r>
    </w:p>
    <w:p w14:paraId="5798FA50">
      <w:pPr>
        <w:autoSpaceDE w:val="0"/>
        <w:spacing w:line="320" w:lineRule="exact"/>
        <w:ind w:firstLine="491" w:firstLineChars="205"/>
        <w:rPr>
          <w:rFonts w:ascii="仿宋" w:hAnsi="仿宋" w:eastAsia="仿宋"/>
          <w:sz w:val="24"/>
        </w:rPr>
      </w:pPr>
      <w:r>
        <w:rPr>
          <w:rFonts w:hint="eastAsia" w:ascii="仿宋" w:hAnsi="仿宋" w:eastAsia="仿宋"/>
          <w:sz w:val="24"/>
        </w:rPr>
        <w:t>附：安全管理协议</w:t>
      </w:r>
    </w:p>
    <w:p w14:paraId="60CC7804">
      <w:pPr>
        <w:autoSpaceDE w:val="0"/>
        <w:spacing w:line="320" w:lineRule="exact"/>
        <w:ind w:firstLine="480" w:firstLineChars="200"/>
        <w:rPr>
          <w:rFonts w:ascii="仿宋" w:hAnsi="仿宋" w:eastAsia="仿宋"/>
          <w:sz w:val="24"/>
        </w:rPr>
      </w:pPr>
      <w:r>
        <w:rPr>
          <w:rFonts w:hint="eastAsia" w:ascii="仿宋" w:hAnsi="仿宋" w:eastAsia="仿宋"/>
          <w:sz w:val="24"/>
        </w:rPr>
        <w:t xml:space="preserve"> </w:t>
      </w:r>
    </w:p>
    <w:p w14:paraId="3579667C">
      <w:pPr>
        <w:autoSpaceDE w:val="0"/>
        <w:spacing w:line="320" w:lineRule="exact"/>
        <w:ind w:firstLine="480" w:firstLineChars="200"/>
        <w:rPr>
          <w:rFonts w:ascii="仿宋" w:hAnsi="仿宋" w:eastAsia="仿宋"/>
          <w:sz w:val="24"/>
        </w:rPr>
      </w:pPr>
      <w:r>
        <w:rPr>
          <w:rFonts w:hint="eastAsia" w:ascii="仿宋" w:hAnsi="仿宋" w:eastAsia="仿宋"/>
          <w:sz w:val="24"/>
        </w:rPr>
        <w:t>甲 方（签章）：                        乙 方（签章）：</w:t>
      </w:r>
    </w:p>
    <w:p w14:paraId="7ED0778F">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地 址：                                地 址：</w:t>
      </w:r>
    </w:p>
    <w:p w14:paraId="683CD986">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电 话：                                电 话：</w:t>
      </w:r>
    </w:p>
    <w:p w14:paraId="1E96255B">
      <w:pPr>
        <w:autoSpaceDE w:val="0"/>
        <w:spacing w:line="320" w:lineRule="exact"/>
        <w:ind w:firstLine="360" w:firstLineChars="150"/>
        <w:rPr>
          <w:rFonts w:ascii="仿宋" w:hAnsi="仿宋" w:eastAsia="仿宋"/>
          <w:sz w:val="24"/>
        </w:rPr>
      </w:pPr>
      <w:r>
        <w:rPr>
          <w:rFonts w:hint="eastAsia" w:ascii="仿宋" w:hAnsi="仿宋" w:eastAsia="仿宋"/>
          <w:sz w:val="24"/>
        </w:rPr>
        <w:t xml:space="preserve"> 年    月    日                         年    月    日</w:t>
      </w:r>
    </w:p>
    <w:p w14:paraId="727341BE">
      <w:pPr>
        <w:autoSpaceDE w:val="0"/>
        <w:spacing w:line="320" w:lineRule="exact"/>
        <w:rPr>
          <w:rFonts w:ascii="宋体" w:hAnsi="宋体" w:eastAsia="宋体"/>
          <w:sz w:val="32"/>
          <w:szCs w:val="32"/>
        </w:rPr>
      </w:pPr>
      <w:r>
        <w:rPr>
          <w:rFonts w:hint="eastAsia" w:ascii="宋体" w:hAnsi="宋体"/>
          <w:sz w:val="32"/>
          <w:szCs w:val="32"/>
        </w:rPr>
        <w:t xml:space="preserve"> </w:t>
      </w:r>
    </w:p>
    <w:p w14:paraId="63E2E4A4">
      <w:pPr>
        <w:spacing w:line="320" w:lineRule="exact"/>
        <w:jc w:val="center"/>
        <w:rPr>
          <w:rFonts w:ascii="宋体" w:hAnsi="宋体"/>
          <w:sz w:val="32"/>
          <w:szCs w:val="32"/>
        </w:rPr>
      </w:pPr>
      <w:r>
        <w:rPr>
          <w:rFonts w:hint="eastAsia" w:ascii="宋体" w:hAnsi="宋体"/>
          <w:sz w:val="32"/>
          <w:szCs w:val="32"/>
        </w:rPr>
        <w:t xml:space="preserve"> </w:t>
      </w:r>
    </w:p>
    <w:p w14:paraId="4B889FD3">
      <w:pPr>
        <w:spacing w:line="320" w:lineRule="exact"/>
        <w:jc w:val="center"/>
        <w:rPr>
          <w:rFonts w:ascii="宋体" w:hAnsi="宋体"/>
          <w:sz w:val="32"/>
          <w:szCs w:val="32"/>
        </w:rPr>
      </w:pPr>
      <w:r>
        <w:rPr>
          <w:rFonts w:hint="eastAsia" w:ascii="宋体" w:hAnsi="宋体"/>
          <w:sz w:val="32"/>
          <w:szCs w:val="32"/>
        </w:rPr>
        <w:t>安全管理协议</w:t>
      </w:r>
    </w:p>
    <w:p w14:paraId="159D9B55">
      <w:pPr>
        <w:spacing w:line="320" w:lineRule="exact"/>
        <w:rPr>
          <w:rFonts w:ascii="仿宋_GB2312" w:hAnsi="Times New Roman" w:eastAsia="仿宋_GB2312"/>
          <w:sz w:val="24"/>
        </w:rPr>
      </w:pPr>
      <w:r>
        <w:rPr>
          <w:rFonts w:hint="eastAsia" w:ascii="仿宋_GB2312" w:eastAsia="仿宋_GB2312"/>
          <w:sz w:val="24"/>
        </w:rPr>
        <w:t xml:space="preserve"> </w:t>
      </w:r>
    </w:p>
    <w:p w14:paraId="5E62534A">
      <w:pPr>
        <w:spacing w:line="320" w:lineRule="exact"/>
        <w:rPr>
          <w:rFonts w:ascii="仿宋" w:hAnsi="仿宋" w:eastAsia="仿宋"/>
          <w:sz w:val="24"/>
        </w:rPr>
      </w:pPr>
      <w:r>
        <w:rPr>
          <w:rFonts w:hint="eastAsia" w:ascii="仿宋" w:hAnsi="仿宋" w:eastAsia="仿宋"/>
          <w:sz w:val="24"/>
        </w:rPr>
        <w:t>资产所有人（以下称甲方）：</w:t>
      </w:r>
      <w:r>
        <w:rPr>
          <w:rFonts w:hint="eastAsia" w:ascii="仿宋" w:hAnsi="仿宋" w:eastAsia="仿宋"/>
          <w:sz w:val="24"/>
          <w:u w:val="single"/>
        </w:rPr>
        <w:t xml:space="preserve">                    </w:t>
      </w:r>
      <w:r>
        <w:rPr>
          <w:rFonts w:hint="eastAsia" w:ascii="仿宋" w:hAnsi="仿宋" w:eastAsia="仿宋"/>
          <w:sz w:val="24"/>
        </w:rPr>
        <w:t xml:space="preserve">                          </w:t>
      </w:r>
    </w:p>
    <w:p w14:paraId="48E9C4B1">
      <w:pPr>
        <w:spacing w:line="320" w:lineRule="exact"/>
        <w:rPr>
          <w:rFonts w:ascii="仿宋" w:hAnsi="仿宋" w:eastAsia="仿宋"/>
          <w:sz w:val="24"/>
        </w:rPr>
      </w:pPr>
      <w:r>
        <w:rPr>
          <w:rFonts w:hint="eastAsia" w:ascii="仿宋" w:hAnsi="仿宋" w:eastAsia="仿宋"/>
          <w:sz w:val="24"/>
        </w:rPr>
        <w:t>承  租  人（以下称乙方）：</w:t>
      </w:r>
      <w:r>
        <w:rPr>
          <w:rFonts w:hint="eastAsia" w:ascii="仿宋" w:hAnsi="仿宋" w:eastAsia="仿宋"/>
          <w:sz w:val="24"/>
          <w:u w:val="single"/>
        </w:rPr>
        <w:t xml:space="preserve">                    </w:t>
      </w:r>
      <w:r>
        <w:rPr>
          <w:rFonts w:hint="eastAsia" w:ascii="仿宋" w:hAnsi="仿宋" w:eastAsia="仿宋"/>
          <w:sz w:val="24"/>
        </w:rPr>
        <w:t xml:space="preserve">     </w:t>
      </w:r>
    </w:p>
    <w:p w14:paraId="5799F93D">
      <w:pPr>
        <w:spacing w:line="320" w:lineRule="exact"/>
        <w:ind w:firstLine="480" w:firstLineChars="200"/>
        <w:rPr>
          <w:rFonts w:ascii="仿宋" w:hAnsi="仿宋" w:eastAsia="仿宋"/>
          <w:sz w:val="24"/>
        </w:rPr>
      </w:pPr>
      <w:r>
        <w:rPr>
          <w:rFonts w:hint="eastAsia" w:ascii="仿宋" w:hAnsi="仿宋" w:eastAsia="仿宋"/>
          <w:sz w:val="24"/>
        </w:rPr>
        <w:t>为认真贯彻落实“安全第一，预防为主，综合治理”的方针，强化安全管理工作，有效控制各类事故的发生，保障人员生命及集体财产安全，根据《无锡市房屋租赁管理办法》及相关法律规定，结合双方实际，签订本协议。</w:t>
      </w:r>
      <w:r>
        <w:rPr>
          <w:rFonts w:hint="eastAsia" w:ascii="仿宋" w:hAnsi="仿宋" w:eastAsia="仿宋"/>
          <w:sz w:val="24"/>
        </w:rPr>
        <w:br w:type="textWrapping"/>
      </w:r>
      <w:r>
        <w:rPr>
          <w:rFonts w:hint="eastAsia" w:ascii="仿宋" w:hAnsi="仿宋" w:eastAsia="仿宋"/>
          <w:sz w:val="24"/>
        </w:rPr>
        <w:t xml:space="preserve">    一、乙方认可甲方资产现状的安全性并适合乙方使用</w:t>
      </w:r>
    </w:p>
    <w:p w14:paraId="7AD0174D">
      <w:pPr>
        <w:spacing w:line="320" w:lineRule="exact"/>
        <w:ind w:firstLine="480" w:firstLineChars="200"/>
        <w:rPr>
          <w:rFonts w:ascii="仿宋" w:hAnsi="仿宋" w:eastAsia="仿宋"/>
          <w:sz w:val="24"/>
        </w:rPr>
      </w:pPr>
      <w:r>
        <w:rPr>
          <w:rFonts w:hint="eastAsia" w:ascii="仿宋" w:hAnsi="仿宋" w:eastAsia="仿宋"/>
          <w:sz w:val="24"/>
        </w:rPr>
        <w:t>二、资产管理安全工作目标</w:t>
      </w:r>
    </w:p>
    <w:p w14:paraId="04EA9A53">
      <w:pPr>
        <w:spacing w:line="320" w:lineRule="exact"/>
        <w:ind w:firstLine="480" w:firstLineChars="200"/>
        <w:rPr>
          <w:rFonts w:ascii="仿宋" w:hAnsi="仿宋" w:eastAsia="仿宋"/>
          <w:sz w:val="24"/>
        </w:rPr>
      </w:pPr>
      <w:r>
        <w:rPr>
          <w:rFonts w:hint="eastAsia" w:ascii="仿宋" w:hAnsi="仿宋" w:eastAsia="仿宋"/>
          <w:sz w:val="24"/>
        </w:rPr>
        <w:t>杜绝发生各类事故</w:t>
      </w:r>
    </w:p>
    <w:p w14:paraId="205F6AD6">
      <w:pPr>
        <w:spacing w:line="320" w:lineRule="exact"/>
        <w:ind w:firstLine="480" w:firstLineChars="200"/>
        <w:rPr>
          <w:rFonts w:ascii="仿宋" w:hAnsi="仿宋" w:eastAsia="仿宋"/>
          <w:sz w:val="24"/>
        </w:rPr>
      </w:pPr>
      <w:r>
        <w:rPr>
          <w:rFonts w:hint="eastAsia" w:ascii="仿宋" w:hAnsi="仿宋" w:eastAsia="仿宋"/>
          <w:sz w:val="24"/>
        </w:rPr>
        <w:t xml:space="preserve">三、安全工作内容   </w:t>
      </w:r>
    </w:p>
    <w:p w14:paraId="266AFDF3">
      <w:pPr>
        <w:spacing w:line="320" w:lineRule="exact"/>
        <w:ind w:firstLine="480" w:firstLineChars="200"/>
        <w:rPr>
          <w:rFonts w:ascii="仿宋" w:hAnsi="仿宋" w:eastAsia="仿宋"/>
          <w:sz w:val="24"/>
        </w:rPr>
      </w:pPr>
      <w:r>
        <w:rPr>
          <w:rFonts w:hint="eastAsia" w:ascii="仿宋" w:hAnsi="仿宋" w:eastAsia="仿宋"/>
          <w:sz w:val="24"/>
        </w:rPr>
        <w:t>1.在租赁期内，乙方是该房屋的实际管理人，该房屋内发生的所有安全事故均与甲方无关，由乙方承担，包括但不限于高空抛物、水电气使用不当、在房间内摔倒等造成的人身伤害、财产损失等；</w:t>
      </w:r>
    </w:p>
    <w:p w14:paraId="0D6191EB">
      <w:pPr>
        <w:spacing w:line="320" w:lineRule="exact"/>
        <w:ind w:firstLine="480" w:firstLineChars="200"/>
        <w:rPr>
          <w:rFonts w:ascii="仿宋" w:hAnsi="仿宋" w:eastAsia="仿宋"/>
          <w:sz w:val="24"/>
        </w:rPr>
      </w:pPr>
      <w:r>
        <w:rPr>
          <w:rFonts w:hint="eastAsia" w:ascii="仿宋" w:hAnsi="仿宋" w:eastAsia="仿宋"/>
          <w:sz w:val="24"/>
        </w:rPr>
        <w:t>2.乙方作为承租资产安全责任人，要坚持安全第一的原则，始终把安全工作放在首位，加强日常安全检查，主动接受各级政府部门和甲方的检查和监督，发现安全隐患，要第一时间通知甲方及有关部门，积极采取措施做好安全隐患的整改工作；</w:t>
      </w:r>
    </w:p>
    <w:p w14:paraId="76A51A1E">
      <w:pPr>
        <w:spacing w:line="320" w:lineRule="exact"/>
        <w:ind w:firstLine="480" w:firstLineChars="200"/>
        <w:rPr>
          <w:rFonts w:ascii="仿宋" w:hAnsi="仿宋" w:eastAsia="仿宋"/>
          <w:sz w:val="24"/>
        </w:rPr>
      </w:pPr>
      <w:r>
        <w:rPr>
          <w:rFonts w:hint="eastAsia" w:ascii="仿宋" w:hAnsi="仿宋" w:eastAsia="仿宋"/>
          <w:sz w:val="24"/>
        </w:rPr>
        <w:t>3.乙方应当按照房屋的规划用途、结构、消防、用电、用气安全要求使用房屋，及时发现、消除或者通知出租人消除安全隐患。乙方不得将承租房屋违法分隔搭建后转租或者实施其他违法建设行为，应当遵守房屋所在小区物业管理规定，不得侵害其他业主合法权益，造成损失的，由乙方承担责任；</w:t>
      </w:r>
    </w:p>
    <w:p w14:paraId="5B3FE713">
      <w:pPr>
        <w:spacing w:line="320" w:lineRule="exact"/>
        <w:ind w:firstLine="480" w:firstLineChars="200"/>
        <w:rPr>
          <w:rFonts w:ascii="仿宋" w:hAnsi="仿宋" w:eastAsia="仿宋"/>
          <w:sz w:val="24"/>
        </w:rPr>
      </w:pPr>
      <w:r>
        <w:rPr>
          <w:rFonts w:hint="eastAsia" w:ascii="仿宋" w:hAnsi="仿宋" w:eastAsia="仿宋"/>
          <w:sz w:val="24"/>
        </w:rPr>
        <w:t>4.乙方使用租赁房屋，疏散楼梯、疏散通道、安全出口、逃生窗等的设置应当符合《无锡市房屋租赁管理办法》及相关法律、法规的要求，造成损失的，由乙方承担责任：</w:t>
      </w:r>
    </w:p>
    <w:p w14:paraId="721A6B5A">
      <w:pPr>
        <w:spacing w:line="320" w:lineRule="exact"/>
        <w:ind w:firstLine="480" w:firstLineChars="200"/>
        <w:rPr>
          <w:rFonts w:ascii="仿宋" w:hAnsi="仿宋" w:eastAsia="仿宋"/>
          <w:sz w:val="24"/>
        </w:rPr>
      </w:pPr>
      <w:r>
        <w:rPr>
          <w:rFonts w:hint="eastAsia" w:ascii="仿宋" w:hAnsi="仿宋" w:eastAsia="仿宋"/>
          <w:sz w:val="24"/>
        </w:rPr>
        <w:t>5.乙方使用租赁房屋，租赁房屋内安装、使用的电器产品应当符合法律、法规和相关安全技术标准，并符合用电安全条件，造成损失的，由乙方承担责任：</w:t>
      </w:r>
    </w:p>
    <w:p w14:paraId="7D4A91D7">
      <w:pPr>
        <w:spacing w:line="320" w:lineRule="exact"/>
        <w:ind w:firstLine="480" w:firstLineChars="200"/>
        <w:rPr>
          <w:rFonts w:ascii="仿宋" w:hAnsi="仿宋" w:eastAsia="仿宋"/>
          <w:sz w:val="24"/>
        </w:rPr>
      </w:pPr>
      <w:r>
        <w:rPr>
          <w:rFonts w:hint="eastAsia" w:ascii="仿宋" w:hAnsi="仿宋" w:eastAsia="仿宋"/>
          <w:sz w:val="24"/>
        </w:rPr>
        <w:t>6.乙方使用租赁房屋，安装、使用的燃气燃烧器具应当符合法律、法规和相关安全技术标准，并符合用气安全条件，造成损失的，由乙方承担责任；</w:t>
      </w:r>
    </w:p>
    <w:p w14:paraId="7F665E96">
      <w:pPr>
        <w:spacing w:line="320" w:lineRule="exact"/>
        <w:ind w:firstLine="480" w:firstLineChars="200"/>
        <w:rPr>
          <w:rFonts w:ascii="仿宋" w:hAnsi="仿宋" w:eastAsia="仿宋"/>
          <w:sz w:val="24"/>
        </w:rPr>
      </w:pPr>
      <w:r>
        <w:rPr>
          <w:rFonts w:hint="eastAsia" w:ascii="仿宋" w:hAnsi="仿宋" w:eastAsia="仿宋"/>
          <w:sz w:val="24"/>
        </w:rPr>
        <w:t>7.因不可抗力或不可预测因素（如漏雨、水管破裂、地震等）给乙方造成损失的，甲方不承担赔偿责任；</w:t>
      </w:r>
    </w:p>
    <w:p w14:paraId="7E1081F3">
      <w:pPr>
        <w:spacing w:line="320" w:lineRule="exact"/>
        <w:ind w:firstLine="480" w:firstLineChars="200"/>
        <w:rPr>
          <w:rFonts w:ascii="仿宋" w:hAnsi="仿宋" w:eastAsia="仿宋"/>
          <w:sz w:val="24"/>
        </w:rPr>
      </w:pPr>
      <w:r>
        <w:rPr>
          <w:rFonts w:hint="eastAsia" w:ascii="仿宋" w:hAnsi="仿宋" w:eastAsia="仿宋"/>
          <w:sz w:val="24"/>
        </w:rPr>
        <w:t>8.因乙方原因或责任而引发事故的，其经济损失由乙方承担，给甲方造成损失的，乙方承担赔偿责任和一切法律责任。</w:t>
      </w:r>
    </w:p>
    <w:p w14:paraId="3F15CF83">
      <w:pPr>
        <w:spacing w:line="320" w:lineRule="exact"/>
        <w:ind w:firstLine="480" w:firstLineChars="200"/>
        <w:rPr>
          <w:rFonts w:ascii="仿宋" w:hAnsi="仿宋" w:eastAsia="仿宋"/>
          <w:sz w:val="24"/>
        </w:rPr>
      </w:pPr>
      <w:r>
        <w:rPr>
          <w:rFonts w:hint="eastAsia" w:ascii="仿宋" w:hAnsi="仿宋" w:eastAsia="仿宋"/>
          <w:sz w:val="24"/>
        </w:rPr>
        <w:t>本协议一式三份，双方各执一份，甲方主管部门一份，自双方签字盖章后生效。</w:t>
      </w:r>
    </w:p>
    <w:p w14:paraId="6BC5A314">
      <w:pPr>
        <w:spacing w:line="320" w:lineRule="exact"/>
        <w:ind w:firstLine="480" w:firstLineChars="200"/>
        <w:rPr>
          <w:rFonts w:ascii="仿宋" w:hAnsi="仿宋" w:eastAsia="仿宋"/>
          <w:sz w:val="24"/>
        </w:rPr>
      </w:pPr>
      <w:r>
        <w:rPr>
          <w:rFonts w:hint="eastAsia" w:ascii="仿宋" w:hAnsi="仿宋" w:eastAsia="仿宋"/>
          <w:sz w:val="24"/>
        </w:rPr>
        <w:t xml:space="preserve"> 甲方（签章）：                 乙方（法人代表或负责人签章）：</w:t>
      </w:r>
    </w:p>
    <w:p w14:paraId="3028776C">
      <w:pPr>
        <w:spacing w:line="320" w:lineRule="exact"/>
        <w:ind w:firstLine="4680" w:firstLineChars="1950"/>
        <w:rPr>
          <w:rFonts w:ascii="仿宋" w:hAnsi="仿宋" w:eastAsia="仿宋"/>
          <w:sz w:val="24"/>
        </w:rPr>
      </w:pPr>
      <w:r>
        <w:rPr>
          <w:rFonts w:hint="eastAsia" w:ascii="仿宋" w:hAnsi="仿宋" w:eastAsia="仿宋"/>
          <w:sz w:val="24"/>
        </w:rPr>
        <w:t xml:space="preserve"> </w:t>
      </w:r>
    </w:p>
    <w:p w14:paraId="68F971BC">
      <w:pPr>
        <w:spacing w:line="320" w:lineRule="exact"/>
        <w:ind w:firstLine="4320" w:firstLineChars="1800"/>
        <w:rPr>
          <w:rFonts w:ascii="仿宋" w:hAnsi="仿宋" w:eastAsia="仿宋"/>
          <w:sz w:val="24"/>
        </w:rPr>
      </w:pPr>
      <w:r>
        <w:rPr>
          <w:rFonts w:hint="eastAsia" w:ascii="仿宋" w:hAnsi="仿宋" w:eastAsia="仿宋"/>
          <w:sz w:val="24"/>
        </w:rPr>
        <w:t>手机号码：</w:t>
      </w:r>
    </w:p>
    <w:p w14:paraId="10B1350D">
      <w:pPr>
        <w:spacing w:line="320" w:lineRule="exact"/>
        <w:ind w:firstLine="5400" w:firstLineChars="2250"/>
        <w:rPr>
          <w:rFonts w:ascii="仿宋" w:hAnsi="仿宋" w:eastAsia="仿宋"/>
          <w:sz w:val="24"/>
        </w:rPr>
      </w:pPr>
      <w:r>
        <w:rPr>
          <w:rFonts w:hint="eastAsia" w:ascii="仿宋" w:hAnsi="仿宋" w:eastAsia="仿宋"/>
          <w:sz w:val="24"/>
        </w:rPr>
        <w:t xml:space="preserve"> </w:t>
      </w:r>
    </w:p>
    <w:p w14:paraId="1A2D19FD">
      <w:pPr>
        <w:spacing w:line="320" w:lineRule="exact"/>
        <w:ind w:firstLine="5400" w:firstLineChars="2250"/>
      </w:pPr>
      <w:r>
        <w:rPr>
          <w:rFonts w:hint="eastAsia" w:ascii="仿宋" w:hAnsi="仿宋" w:eastAsia="仿宋"/>
          <w:sz w:val="24"/>
        </w:rPr>
        <w:t>年    月    日</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EE8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03E84"/>
    <w:multiLevelType w:val="multilevel"/>
    <w:tmpl w:val="40303E84"/>
    <w:lvl w:ilvl="0" w:tentative="0">
      <w:start w:val="1"/>
      <w:numFmt w:val="japaneseCounting"/>
      <w:lvlText w:val="第%1条"/>
      <w:lvlJc w:val="left"/>
      <w:pPr>
        <w:ind w:left="1535" w:hanging="97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TFiOTcwNzNkMmZjZjZjNTY2ZDE4YzA5NDhjZTgifQ=="/>
  </w:docVars>
  <w:rsids>
    <w:rsidRoot w:val="003068EF"/>
    <w:rsid w:val="00000CEF"/>
    <w:rsid w:val="00021A28"/>
    <w:rsid w:val="00053D21"/>
    <w:rsid w:val="000708C3"/>
    <w:rsid w:val="000858CF"/>
    <w:rsid w:val="000E45FD"/>
    <w:rsid w:val="000E4BF6"/>
    <w:rsid w:val="000F5674"/>
    <w:rsid w:val="000F6AC3"/>
    <w:rsid w:val="00132148"/>
    <w:rsid w:val="0013786F"/>
    <w:rsid w:val="0014131F"/>
    <w:rsid w:val="00154B6A"/>
    <w:rsid w:val="00165E8E"/>
    <w:rsid w:val="001E051C"/>
    <w:rsid w:val="00211342"/>
    <w:rsid w:val="002429FE"/>
    <w:rsid w:val="00246455"/>
    <w:rsid w:val="00257573"/>
    <w:rsid w:val="0026430E"/>
    <w:rsid w:val="002659E8"/>
    <w:rsid w:val="00274D19"/>
    <w:rsid w:val="0028394D"/>
    <w:rsid w:val="0028605E"/>
    <w:rsid w:val="002B048B"/>
    <w:rsid w:val="002C63F1"/>
    <w:rsid w:val="002D7C93"/>
    <w:rsid w:val="002F3BF8"/>
    <w:rsid w:val="003068EF"/>
    <w:rsid w:val="003300F3"/>
    <w:rsid w:val="003365FB"/>
    <w:rsid w:val="00390F3B"/>
    <w:rsid w:val="003E2124"/>
    <w:rsid w:val="0040363C"/>
    <w:rsid w:val="00416F58"/>
    <w:rsid w:val="004278EB"/>
    <w:rsid w:val="00456239"/>
    <w:rsid w:val="004605E6"/>
    <w:rsid w:val="00486542"/>
    <w:rsid w:val="004A0F6D"/>
    <w:rsid w:val="004B7B22"/>
    <w:rsid w:val="004F00F1"/>
    <w:rsid w:val="004F5E19"/>
    <w:rsid w:val="005002E5"/>
    <w:rsid w:val="00513909"/>
    <w:rsid w:val="00543B54"/>
    <w:rsid w:val="00584390"/>
    <w:rsid w:val="005B1F1F"/>
    <w:rsid w:val="005E115B"/>
    <w:rsid w:val="005F227E"/>
    <w:rsid w:val="005F7062"/>
    <w:rsid w:val="006378F6"/>
    <w:rsid w:val="00650994"/>
    <w:rsid w:val="00695022"/>
    <w:rsid w:val="006952F7"/>
    <w:rsid w:val="00703E25"/>
    <w:rsid w:val="00705716"/>
    <w:rsid w:val="00720273"/>
    <w:rsid w:val="00730390"/>
    <w:rsid w:val="00731C55"/>
    <w:rsid w:val="007667FD"/>
    <w:rsid w:val="00767F2E"/>
    <w:rsid w:val="007745EE"/>
    <w:rsid w:val="007766FE"/>
    <w:rsid w:val="00787232"/>
    <w:rsid w:val="00792848"/>
    <w:rsid w:val="007A563E"/>
    <w:rsid w:val="007F1E79"/>
    <w:rsid w:val="00834430"/>
    <w:rsid w:val="008512C7"/>
    <w:rsid w:val="008969FA"/>
    <w:rsid w:val="008B5B04"/>
    <w:rsid w:val="008D6CB3"/>
    <w:rsid w:val="00901BD5"/>
    <w:rsid w:val="0090385B"/>
    <w:rsid w:val="00910E62"/>
    <w:rsid w:val="00911488"/>
    <w:rsid w:val="00916E47"/>
    <w:rsid w:val="00947BE5"/>
    <w:rsid w:val="009664E6"/>
    <w:rsid w:val="00972E8D"/>
    <w:rsid w:val="00976DBC"/>
    <w:rsid w:val="00A21B96"/>
    <w:rsid w:val="00A55A71"/>
    <w:rsid w:val="00A575D0"/>
    <w:rsid w:val="00A802CF"/>
    <w:rsid w:val="00A8421E"/>
    <w:rsid w:val="00AA1904"/>
    <w:rsid w:val="00AA3D3A"/>
    <w:rsid w:val="00AB170B"/>
    <w:rsid w:val="00AB271C"/>
    <w:rsid w:val="00AD4229"/>
    <w:rsid w:val="00AD4D78"/>
    <w:rsid w:val="00AE6B13"/>
    <w:rsid w:val="00AE7765"/>
    <w:rsid w:val="00B179AC"/>
    <w:rsid w:val="00B317BD"/>
    <w:rsid w:val="00B42D5E"/>
    <w:rsid w:val="00B61875"/>
    <w:rsid w:val="00BD287B"/>
    <w:rsid w:val="00BE7750"/>
    <w:rsid w:val="00BF74A1"/>
    <w:rsid w:val="00C252F8"/>
    <w:rsid w:val="00C70222"/>
    <w:rsid w:val="00C7296B"/>
    <w:rsid w:val="00C91E2D"/>
    <w:rsid w:val="00CB2C57"/>
    <w:rsid w:val="00CD25FC"/>
    <w:rsid w:val="00CE2F52"/>
    <w:rsid w:val="00D0183C"/>
    <w:rsid w:val="00D11A12"/>
    <w:rsid w:val="00D13EB6"/>
    <w:rsid w:val="00D2075C"/>
    <w:rsid w:val="00D213A0"/>
    <w:rsid w:val="00D740DD"/>
    <w:rsid w:val="00D75A31"/>
    <w:rsid w:val="00D86803"/>
    <w:rsid w:val="00DA5CA3"/>
    <w:rsid w:val="00DC4887"/>
    <w:rsid w:val="00DF345F"/>
    <w:rsid w:val="00E07F34"/>
    <w:rsid w:val="00E90BB1"/>
    <w:rsid w:val="00ED00AA"/>
    <w:rsid w:val="00EF5B62"/>
    <w:rsid w:val="00F0351B"/>
    <w:rsid w:val="00F7288C"/>
    <w:rsid w:val="00FC102E"/>
    <w:rsid w:val="01714984"/>
    <w:rsid w:val="0333345C"/>
    <w:rsid w:val="04F03C97"/>
    <w:rsid w:val="051B5F74"/>
    <w:rsid w:val="053C6EDC"/>
    <w:rsid w:val="0C3452C6"/>
    <w:rsid w:val="0C973E1D"/>
    <w:rsid w:val="0CDE4E63"/>
    <w:rsid w:val="0D2F0621"/>
    <w:rsid w:val="0D313465"/>
    <w:rsid w:val="0D96359B"/>
    <w:rsid w:val="0E6D56A5"/>
    <w:rsid w:val="0F3420BD"/>
    <w:rsid w:val="0FA364D6"/>
    <w:rsid w:val="12857438"/>
    <w:rsid w:val="153E386F"/>
    <w:rsid w:val="16133C89"/>
    <w:rsid w:val="1819758E"/>
    <w:rsid w:val="18B067CF"/>
    <w:rsid w:val="192306DD"/>
    <w:rsid w:val="19B61279"/>
    <w:rsid w:val="1A96457F"/>
    <w:rsid w:val="1AF720E8"/>
    <w:rsid w:val="1C040E10"/>
    <w:rsid w:val="1E944523"/>
    <w:rsid w:val="22773079"/>
    <w:rsid w:val="246E5475"/>
    <w:rsid w:val="25537BFE"/>
    <w:rsid w:val="25C402BB"/>
    <w:rsid w:val="278C7703"/>
    <w:rsid w:val="29AE5C47"/>
    <w:rsid w:val="2D6C3F53"/>
    <w:rsid w:val="2E70537D"/>
    <w:rsid w:val="2ED710DE"/>
    <w:rsid w:val="2F492340"/>
    <w:rsid w:val="32D74B82"/>
    <w:rsid w:val="331619F9"/>
    <w:rsid w:val="3329639D"/>
    <w:rsid w:val="33323549"/>
    <w:rsid w:val="33673ECA"/>
    <w:rsid w:val="3410342A"/>
    <w:rsid w:val="34922213"/>
    <w:rsid w:val="35033AF2"/>
    <w:rsid w:val="35E3774B"/>
    <w:rsid w:val="36B351C5"/>
    <w:rsid w:val="38241206"/>
    <w:rsid w:val="3C003CB1"/>
    <w:rsid w:val="3C097069"/>
    <w:rsid w:val="3C4846DD"/>
    <w:rsid w:val="3EFF21D9"/>
    <w:rsid w:val="42C827B2"/>
    <w:rsid w:val="449932D2"/>
    <w:rsid w:val="471D1529"/>
    <w:rsid w:val="473B11B3"/>
    <w:rsid w:val="48D80297"/>
    <w:rsid w:val="49DA7107"/>
    <w:rsid w:val="49FD0420"/>
    <w:rsid w:val="4A0434A6"/>
    <w:rsid w:val="4AF54AD5"/>
    <w:rsid w:val="4BD96800"/>
    <w:rsid w:val="4DCC0105"/>
    <w:rsid w:val="4E140BEB"/>
    <w:rsid w:val="4E706752"/>
    <w:rsid w:val="4FDA0317"/>
    <w:rsid w:val="504F267E"/>
    <w:rsid w:val="5122395A"/>
    <w:rsid w:val="51DA0BDC"/>
    <w:rsid w:val="5380453A"/>
    <w:rsid w:val="53C94501"/>
    <w:rsid w:val="5437167A"/>
    <w:rsid w:val="54A3212E"/>
    <w:rsid w:val="55A10B06"/>
    <w:rsid w:val="55E51921"/>
    <w:rsid w:val="55E71B19"/>
    <w:rsid w:val="57160203"/>
    <w:rsid w:val="59205A6E"/>
    <w:rsid w:val="599B4F6D"/>
    <w:rsid w:val="59D31C95"/>
    <w:rsid w:val="5B0D4D97"/>
    <w:rsid w:val="5EF34FFB"/>
    <w:rsid w:val="60D86B60"/>
    <w:rsid w:val="60DB227B"/>
    <w:rsid w:val="614B11AE"/>
    <w:rsid w:val="66B9414F"/>
    <w:rsid w:val="66FB6FF1"/>
    <w:rsid w:val="67D22C80"/>
    <w:rsid w:val="68777F16"/>
    <w:rsid w:val="695D4175"/>
    <w:rsid w:val="697D4AC2"/>
    <w:rsid w:val="6A09376F"/>
    <w:rsid w:val="6A9A4F55"/>
    <w:rsid w:val="6BCC55E2"/>
    <w:rsid w:val="6D0D3EDB"/>
    <w:rsid w:val="6EC356CD"/>
    <w:rsid w:val="6F482643"/>
    <w:rsid w:val="6F871F4B"/>
    <w:rsid w:val="727A03CD"/>
    <w:rsid w:val="738D2B36"/>
    <w:rsid w:val="744F0B5E"/>
    <w:rsid w:val="74D147AA"/>
    <w:rsid w:val="77533873"/>
    <w:rsid w:val="778A2562"/>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rFonts w:ascii="Calibri" w:hAnsi="Calibri" w:eastAsia="宋体" w:cs="Times New Roman"/>
      <w:szCs w:val="22"/>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5196</Words>
  <Characters>5326</Characters>
  <Lines>53</Lines>
  <Paragraphs>15</Paragraphs>
  <TotalTime>0</TotalTime>
  <ScaleCrop>false</ScaleCrop>
  <LinksUpToDate>false</LinksUpToDate>
  <CharactersWithSpaces>5890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YGY</cp:lastModifiedBy>
  <cp:lastPrinted>2024-12-23T06:56:00Z</cp:lastPrinted>
  <dcterms:modified xsi:type="dcterms:W3CDTF">2026-06-03T06:03:32Z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C4FA8A98701046FCA46EA03701A618D5</vt:lpwstr>
  </property>
  <property fmtid="{D5CDD505-2E9C-101B-9397-08002B2CF9AE}" pid="4" name="KSOTemplateDocerSaveRecord">
    <vt:lpwstr>eyJoZGlkIjoiYWE2YjBhNGZjMTUzODQ3NzUxZTcxZTE5OGJhZTNjMWYiLCJ1c2VySWQiOiI5NDI3MTI4NjQifQ==</vt:lpwstr>
  </property>
</Properties>
</file>