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1AF0F">
      <w:pPr>
        <w:spacing w:line="700" w:lineRule="exact"/>
        <w:jc w:val="center"/>
        <w:rPr>
          <w:rFonts w:hint="eastAsia" w:ascii="楷体" w:hAnsi="楷体" w:eastAsia="楷体" w:cs="楷体"/>
          <w:b/>
          <w:bCs/>
          <w:color w:val="auto"/>
          <w:sz w:val="44"/>
          <w:szCs w:val="44"/>
          <w:highlight w:val="none"/>
          <w:lang w:val="en-US" w:eastAsia="zh-CN"/>
        </w:rPr>
      </w:pPr>
      <w:r>
        <w:rPr>
          <w:rFonts w:hint="eastAsia" w:ascii="楷体" w:hAnsi="楷体" w:eastAsia="楷体" w:cs="楷体"/>
          <w:b/>
          <w:color w:val="auto"/>
          <w:sz w:val="44"/>
          <w:szCs w:val="44"/>
          <w:highlight w:val="none"/>
          <w:lang w:val="en-US" w:eastAsia="zh-CN"/>
        </w:rPr>
        <w:t>宜兴市</w:t>
      </w:r>
      <w:r>
        <w:rPr>
          <w:rFonts w:hint="eastAsia" w:ascii="楷体" w:hAnsi="楷体" w:eastAsia="楷体" w:cs="楷体"/>
          <w:b/>
          <w:bCs/>
          <w:color w:val="auto"/>
          <w:sz w:val="44"/>
          <w:szCs w:val="44"/>
          <w:highlight w:val="none"/>
        </w:rPr>
        <w:t>张渚镇</w:t>
      </w:r>
      <w:r>
        <w:rPr>
          <w:rFonts w:hint="eastAsia" w:ascii="楷体" w:hAnsi="楷体" w:eastAsia="楷体" w:cs="楷体"/>
          <w:b/>
          <w:bCs/>
          <w:color w:val="auto"/>
          <w:sz w:val="44"/>
          <w:szCs w:val="44"/>
          <w:highlight w:val="none"/>
          <w:lang w:val="en-US" w:eastAsia="zh-CN"/>
        </w:rPr>
        <w:t>东龙村老虎山宕口遗留余弃废宕渣、东龙村南天门土地复垦整改余弃土石料、南山建材东地块没收土石料</w:t>
      </w:r>
    </w:p>
    <w:p w14:paraId="4F803DB1">
      <w:pPr>
        <w:keepNext w:val="0"/>
        <w:keepLines w:val="0"/>
        <w:pageBreakBefore w:val="0"/>
        <w:widowControl w:val="0"/>
        <w:kinsoku/>
        <w:wordWrap/>
        <w:overflowPunct/>
        <w:topLinePunct w:val="0"/>
        <w:autoSpaceDE/>
        <w:autoSpaceDN/>
        <w:bidi w:val="0"/>
        <w:spacing w:beforeAutospacing="0" w:afterAutospacing="0" w:line="360" w:lineRule="auto"/>
        <w:ind w:firstLine="3092" w:firstLineChars="700"/>
        <w:jc w:val="both"/>
        <w:textAlignment w:val="auto"/>
        <w:rPr>
          <w:rFonts w:hint="eastAsia" w:ascii="楷体" w:hAnsi="楷体" w:eastAsia="楷体" w:cs="楷体"/>
          <w:b/>
          <w:bCs/>
          <w:color w:val="auto"/>
          <w:sz w:val="44"/>
          <w:szCs w:val="44"/>
          <w:lang w:eastAsia="zh-CN"/>
        </w:rPr>
      </w:pPr>
      <w:r>
        <w:rPr>
          <w:rFonts w:hint="eastAsia" w:ascii="楷体" w:hAnsi="楷体" w:eastAsia="楷体" w:cs="楷体"/>
          <w:b/>
          <w:bCs/>
          <w:color w:val="auto"/>
          <w:sz w:val="44"/>
          <w:szCs w:val="44"/>
        </w:rPr>
        <w:t>拍</w:t>
      </w:r>
      <w:r>
        <w:rPr>
          <w:rFonts w:hint="eastAsia" w:ascii="楷体" w:hAnsi="楷体" w:eastAsia="楷体" w:cs="楷体"/>
          <w:b/>
          <w:bCs/>
          <w:color w:val="auto"/>
          <w:sz w:val="44"/>
          <w:szCs w:val="44"/>
          <w:lang w:eastAsia="zh-CN"/>
        </w:rPr>
        <w:t>卖</w:t>
      </w:r>
      <w:r>
        <w:rPr>
          <w:rFonts w:hint="eastAsia" w:ascii="楷体" w:hAnsi="楷体" w:eastAsia="楷体" w:cs="楷体"/>
          <w:b/>
          <w:bCs/>
          <w:color w:val="auto"/>
          <w:sz w:val="44"/>
          <w:szCs w:val="44"/>
          <w:lang w:val="en-US" w:eastAsia="zh-CN"/>
        </w:rPr>
        <w:t>须知</w:t>
      </w:r>
    </w:p>
    <w:p w14:paraId="2F40F105">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本须知根据《中华人民共和国拍卖法》及有关法律、法规和</w:t>
      </w:r>
      <w:r>
        <w:rPr>
          <w:rFonts w:hint="eastAsia" w:ascii="楷体" w:hAnsi="楷体" w:eastAsia="楷体" w:cs="楷体"/>
          <w:b w:val="0"/>
          <w:bCs w:val="0"/>
          <w:color w:val="auto"/>
          <w:sz w:val="28"/>
          <w:szCs w:val="28"/>
          <w:lang w:eastAsia="zh-CN"/>
        </w:rPr>
        <w:t>委托人</w:t>
      </w:r>
      <w:r>
        <w:rPr>
          <w:rFonts w:hint="eastAsia" w:ascii="楷体" w:hAnsi="楷体" w:eastAsia="楷体" w:cs="楷体"/>
          <w:b w:val="0"/>
          <w:bCs w:val="0"/>
          <w:color w:val="auto"/>
          <w:sz w:val="28"/>
          <w:szCs w:val="28"/>
        </w:rPr>
        <w:t>的要求制定，本次拍卖活动遵循“公开、公平、公正、诚实守信”原则</w:t>
      </w:r>
      <w:r>
        <w:rPr>
          <w:rFonts w:hint="eastAsia" w:ascii="楷体" w:hAnsi="楷体" w:eastAsia="楷体" w:cs="楷体"/>
          <w:b w:val="0"/>
          <w:bCs w:val="0"/>
          <w:color w:val="auto"/>
          <w:sz w:val="28"/>
          <w:szCs w:val="28"/>
          <w:lang w:eastAsia="zh-CN"/>
        </w:rPr>
        <w:t>，</w:t>
      </w:r>
      <w:r>
        <w:rPr>
          <w:rFonts w:hint="eastAsia" w:ascii="楷体" w:hAnsi="楷体" w:eastAsia="楷体" w:cs="楷体"/>
          <w:b w:val="0"/>
          <w:bCs w:val="0"/>
          <w:color w:val="auto"/>
          <w:sz w:val="28"/>
          <w:szCs w:val="28"/>
        </w:rPr>
        <w:t>竞买人应仔细阅读和遵守</w:t>
      </w:r>
      <w:r>
        <w:rPr>
          <w:rFonts w:hint="eastAsia" w:ascii="楷体" w:hAnsi="楷体" w:eastAsia="楷体" w:cs="楷体"/>
          <w:b w:val="0"/>
          <w:bCs w:val="0"/>
          <w:color w:val="auto"/>
          <w:sz w:val="28"/>
          <w:szCs w:val="28"/>
          <w:lang w:val="en-US" w:eastAsia="zh-CN"/>
        </w:rPr>
        <w:t>规则</w:t>
      </w:r>
      <w:r>
        <w:rPr>
          <w:rFonts w:hint="eastAsia" w:ascii="楷体" w:hAnsi="楷体" w:eastAsia="楷体" w:cs="楷体"/>
          <w:b w:val="0"/>
          <w:bCs w:val="0"/>
          <w:color w:val="auto"/>
          <w:sz w:val="28"/>
          <w:szCs w:val="28"/>
        </w:rPr>
        <w:t>，并对自己的行为负责。</w:t>
      </w:r>
    </w:p>
    <w:p w14:paraId="3199B7E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both"/>
        <w:textAlignment w:val="auto"/>
        <w:outlineLvl w:val="9"/>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一、一般条款：</w:t>
      </w:r>
    </w:p>
    <w:p w14:paraId="77F7AA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outlineLvl w:val="9"/>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第一条 拍卖标的:</w:t>
      </w:r>
    </w:p>
    <w:tbl>
      <w:tblPr>
        <w:tblStyle w:val="5"/>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2005"/>
        <w:gridCol w:w="1384"/>
        <w:gridCol w:w="1050"/>
        <w:gridCol w:w="1058"/>
        <w:gridCol w:w="1001"/>
      </w:tblGrid>
      <w:tr w14:paraId="4CDA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2089" w:type="dxa"/>
            <w:vAlign w:val="center"/>
          </w:tcPr>
          <w:p w14:paraId="3ADAAA91">
            <w:pPr>
              <w:adjustRightInd w:val="0"/>
              <w:snapToGrid w:val="0"/>
              <w:jc w:val="center"/>
              <w:rPr>
                <w:rFonts w:hint="eastAsia" w:ascii="楷体" w:hAnsi="楷体" w:eastAsia="楷体" w:cs="楷体"/>
                <w:color w:val="auto"/>
                <w:kern w:val="0"/>
                <w:sz w:val="24"/>
                <w:highlight w:val="none"/>
                <w:shd w:val="clear" w:color="auto" w:fill="FFFFFF"/>
              </w:rPr>
            </w:pPr>
            <w:bookmarkStart w:id="0" w:name="_Hlk154154927"/>
            <w:r>
              <w:rPr>
                <w:rFonts w:hint="eastAsia" w:ascii="楷体" w:hAnsi="楷体" w:eastAsia="楷体" w:cs="楷体"/>
                <w:color w:val="auto"/>
                <w:kern w:val="0"/>
                <w:sz w:val="24"/>
                <w:highlight w:val="none"/>
                <w:shd w:val="clear" w:color="auto" w:fill="FFFFFF"/>
              </w:rPr>
              <w:t>标的编号</w:t>
            </w:r>
          </w:p>
        </w:tc>
        <w:tc>
          <w:tcPr>
            <w:tcW w:w="2005" w:type="dxa"/>
            <w:vAlign w:val="center"/>
          </w:tcPr>
          <w:p w14:paraId="34C3E814">
            <w:pPr>
              <w:adjustRightInd w:val="0"/>
              <w:snapToGrid w:val="0"/>
              <w:jc w:val="center"/>
              <w:rPr>
                <w:rFonts w:hint="eastAsia" w:ascii="楷体" w:hAnsi="楷体" w:eastAsia="楷体" w:cs="楷体"/>
                <w:color w:val="auto"/>
                <w:kern w:val="0"/>
                <w:sz w:val="24"/>
                <w:highlight w:val="none"/>
                <w:shd w:val="clear" w:color="auto" w:fill="FFFFFF"/>
              </w:rPr>
            </w:pPr>
            <w:r>
              <w:rPr>
                <w:rFonts w:hint="eastAsia" w:ascii="楷体" w:hAnsi="楷体" w:eastAsia="楷体" w:cs="楷体"/>
                <w:color w:val="auto"/>
                <w:kern w:val="0"/>
                <w:sz w:val="24"/>
                <w:highlight w:val="none"/>
              </w:rPr>
              <w:t>标的名称</w:t>
            </w:r>
          </w:p>
        </w:tc>
        <w:tc>
          <w:tcPr>
            <w:tcW w:w="1384" w:type="dxa"/>
            <w:vAlign w:val="center"/>
          </w:tcPr>
          <w:p w14:paraId="48E07059">
            <w:pPr>
              <w:adjustRightInd w:val="0"/>
              <w:snapToGrid w:val="0"/>
              <w:jc w:val="center"/>
              <w:rPr>
                <w:rFonts w:hint="eastAsia" w:ascii="楷体" w:hAnsi="楷体" w:eastAsia="楷体" w:cs="楷体"/>
                <w:color w:val="auto"/>
                <w:kern w:val="0"/>
                <w:sz w:val="24"/>
                <w:highlight w:val="none"/>
                <w:shd w:val="clear" w:color="auto" w:fill="FFFFFF"/>
                <w:lang w:eastAsia="zh-CN"/>
              </w:rPr>
            </w:pPr>
            <w:r>
              <w:rPr>
                <w:rFonts w:hint="eastAsia" w:ascii="楷体" w:hAnsi="楷体" w:eastAsia="楷体" w:cs="楷体"/>
                <w:color w:val="auto"/>
                <w:kern w:val="0"/>
                <w:sz w:val="24"/>
                <w:highlight w:val="none"/>
                <w:shd w:val="clear" w:color="auto" w:fill="FFFFFF"/>
                <w:lang w:val="en-US" w:eastAsia="zh-CN"/>
              </w:rPr>
              <w:t>数</w:t>
            </w:r>
            <w:r>
              <w:rPr>
                <w:rFonts w:hint="eastAsia" w:ascii="楷体" w:hAnsi="楷体" w:eastAsia="楷体" w:cs="楷体"/>
                <w:color w:val="auto"/>
                <w:kern w:val="0"/>
                <w:sz w:val="24"/>
                <w:highlight w:val="none"/>
                <w:shd w:val="clear" w:color="auto" w:fill="FFFFFF"/>
                <w:lang w:eastAsia="zh-CN"/>
              </w:rPr>
              <w:t>量</w:t>
            </w:r>
          </w:p>
        </w:tc>
        <w:tc>
          <w:tcPr>
            <w:tcW w:w="1050" w:type="dxa"/>
            <w:vAlign w:val="center"/>
          </w:tcPr>
          <w:p w14:paraId="74C82FDA">
            <w:pPr>
              <w:adjustRightInd w:val="0"/>
              <w:snapToGrid w:val="0"/>
              <w:jc w:val="center"/>
              <w:rPr>
                <w:rFonts w:hint="eastAsia" w:ascii="楷体" w:hAnsi="楷体" w:eastAsia="楷体" w:cs="楷体"/>
                <w:color w:val="auto"/>
                <w:kern w:val="0"/>
                <w:sz w:val="18"/>
                <w:szCs w:val="18"/>
                <w:highlight w:val="none"/>
                <w:shd w:val="clear" w:color="auto" w:fill="FFFFFF"/>
                <w:lang w:val="en-US" w:eastAsia="zh-CN"/>
              </w:rPr>
            </w:pPr>
            <w:r>
              <w:rPr>
                <w:rFonts w:hint="eastAsia" w:ascii="楷体" w:hAnsi="楷体" w:eastAsia="楷体" w:cs="楷体"/>
                <w:color w:val="auto"/>
                <w:kern w:val="0"/>
                <w:sz w:val="24"/>
                <w:szCs w:val="24"/>
                <w:highlight w:val="none"/>
                <w:shd w:val="clear" w:color="auto" w:fill="FFFFFF"/>
                <w:lang w:val="en-US" w:eastAsia="zh-CN"/>
              </w:rPr>
              <w:t>拟拍价</w:t>
            </w:r>
          </w:p>
        </w:tc>
        <w:tc>
          <w:tcPr>
            <w:tcW w:w="1058" w:type="dxa"/>
            <w:vAlign w:val="center"/>
          </w:tcPr>
          <w:p w14:paraId="73F97A03">
            <w:pPr>
              <w:adjustRightInd w:val="0"/>
              <w:snapToGrid w:val="0"/>
              <w:jc w:val="center"/>
              <w:rPr>
                <w:rFonts w:hint="eastAsia" w:ascii="楷体" w:hAnsi="楷体" w:eastAsia="楷体" w:cs="楷体"/>
                <w:color w:val="auto"/>
                <w:kern w:val="0"/>
                <w:sz w:val="24"/>
                <w:highlight w:val="none"/>
                <w:shd w:val="clear" w:color="auto" w:fill="FFFFFF"/>
                <w:lang w:eastAsia="zh-CN"/>
              </w:rPr>
            </w:pPr>
            <w:r>
              <w:rPr>
                <w:rFonts w:hint="eastAsia" w:ascii="楷体" w:hAnsi="楷体" w:eastAsia="楷体" w:cs="楷体"/>
                <w:color w:val="auto"/>
                <w:kern w:val="0"/>
                <w:sz w:val="24"/>
                <w:highlight w:val="none"/>
                <w:shd w:val="clear" w:color="auto" w:fill="FFFFFF"/>
                <w:lang w:val="en-US" w:eastAsia="zh-CN"/>
              </w:rPr>
              <w:t>起拍价（元）</w:t>
            </w:r>
          </w:p>
        </w:tc>
        <w:tc>
          <w:tcPr>
            <w:tcW w:w="1001" w:type="dxa"/>
            <w:vAlign w:val="center"/>
          </w:tcPr>
          <w:p w14:paraId="5522D697">
            <w:pPr>
              <w:adjustRightInd w:val="0"/>
              <w:snapToGrid w:val="0"/>
              <w:jc w:val="center"/>
              <w:rPr>
                <w:rFonts w:hint="eastAsia" w:ascii="楷体" w:hAnsi="楷体" w:eastAsia="楷体" w:cs="楷体"/>
                <w:color w:val="auto"/>
                <w:kern w:val="0"/>
                <w:sz w:val="24"/>
                <w:highlight w:val="none"/>
                <w:shd w:val="clear" w:color="auto" w:fill="FFFFFF"/>
                <w:lang w:val="en-US" w:eastAsia="zh-CN"/>
              </w:rPr>
            </w:pPr>
            <w:r>
              <w:rPr>
                <w:rFonts w:hint="eastAsia" w:ascii="楷体" w:hAnsi="楷体" w:eastAsia="楷体" w:cs="楷体"/>
                <w:color w:val="auto"/>
                <w:kern w:val="0"/>
                <w:sz w:val="24"/>
                <w:highlight w:val="none"/>
                <w:shd w:val="clear" w:color="auto" w:fill="FFFFFF"/>
                <w:lang w:val="en-US" w:eastAsia="zh-CN"/>
              </w:rPr>
              <w:t>备注</w:t>
            </w:r>
          </w:p>
        </w:tc>
      </w:tr>
      <w:tr w14:paraId="4576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2089" w:type="dxa"/>
            <w:vMerge w:val="restart"/>
            <w:vAlign w:val="center"/>
          </w:tcPr>
          <w:p w14:paraId="3A0C1731">
            <w:pPr>
              <w:adjustRightInd w:val="0"/>
              <w:snapToGrid w:val="0"/>
              <w:jc w:val="center"/>
              <w:rPr>
                <w:rFonts w:hint="eastAsia" w:ascii="楷体" w:hAnsi="楷体" w:eastAsia="楷体" w:cs="楷体"/>
                <w:color w:val="auto"/>
                <w:kern w:val="0"/>
                <w:sz w:val="24"/>
                <w:highlight w:val="none"/>
                <w:shd w:val="clear" w:color="auto" w:fill="FFFFFF"/>
                <w:lang w:val="en-US"/>
              </w:rPr>
            </w:pPr>
            <w:r>
              <w:rPr>
                <w:rFonts w:hint="eastAsia" w:ascii="楷体" w:hAnsi="楷体" w:eastAsia="楷体" w:cs="楷体"/>
                <w:color w:val="auto"/>
                <w:kern w:val="0"/>
                <w:sz w:val="21"/>
                <w:szCs w:val="21"/>
                <w:highlight w:val="none"/>
                <w:lang w:val="en-US" w:eastAsia="zh-CN"/>
              </w:rPr>
              <w:t xml:space="preserve">YXQTZR20260011001 </w:t>
            </w:r>
          </w:p>
        </w:tc>
        <w:tc>
          <w:tcPr>
            <w:tcW w:w="2005" w:type="dxa"/>
            <w:shd w:val="clear" w:color="auto" w:fill="auto"/>
          </w:tcPr>
          <w:p w14:paraId="6670CC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楷体" w:hAnsi="楷体" w:eastAsia="楷体" w:cs="楷体"/>
                <w:kern w:val="2"/>
                <w:sz w:val="21"/>
                <w:szCs w:val="21"/>
                <w:lang w:val="en-US" w:eastAsia="zh-CN" w:bidi="ar-SA"/>
              </w:rPr>
            </w:pPr>
            <w:r>
              <w:rPr>
                <w:rFonts w:hint="eastAsia" w:ascii="楷体" w:hAnsi="楷体" w:eastAsia="楷体" w:cs="楷体"/>
                <w:i w:val="0"/>
                <w:iCs w:val="0"/>
                <w:caps w:val="0"/>
                <w:color w:val="000000"/>
                <w:spacing w:val="0"/>
                <w:kern w:val="0"/>
                <w:sz w:val="21"/>
                <w:szCs w:val="21"/>
                <w:lang w:val="en-US" w:eastAsia="zh-CN"/>
              </w:rPr>
              <w:t>宜兴市张渚镇东龙村老虎山宕口遗留余弃废宕渣</w:t>
            </w:r>
          </w:p>
        </w:tc>
        <w:tc>
          <w:tcPr>
            <w:tcW w:w="1384" w:type="dxa"/>
            <w:shd w:val="clear" w:color="auto" w:fill="auto"/>
          </w:tcPr>
          <w:p w14:paraId="614E3348">
            <w:pPr>
              <w:ind w:firstLine="1260" w:firstLineChars="600"/>
              <w:rPr>
                <w:rFonts w:hint="eastAsia" w:ascii="楷体" w:hAnsi="楷体" w:eastAsia="楷体" w:cs="楷体"/>
                <w:kern w:val="2"/>
                <w:sz w:val="21"/>
                <w:szCs w:val="21"/>
                <w:lang w:val="en-US" w:eastAsia="zh-CN" w:bidi="ar-SA"/>
              </w:rPr>
            </w:pPr>
            <w:r>
              <w:rPr>
                <w:rFonts w:hint="eastAsia" w:ascii="楷体" w:hAnsi="楷体" w:eastAsia="楷体" w:cs="楷体"/>
                <w:szCs w:val="21"/>
                <w:lang w:val="en-US" w:eastAsia="zh-CN"/>
              </w:rPr>
              <w:t xml:space="preserve"> 90242.28吨</w:t>
            </w:r>
          </w:p>
        </w:tc>
        <w:tc>
          <w:tcPr>
            <w:tcW w:w="1050" w:type="dxa"/>
            <w:shd w:val="clear" w:color="auto" w:fill="auto"/>
          </w:tcPr>
          <w:p w14:paraId="13F47616">
            <w:pPr>
              <w:ind w:firstLine="840" w:firstLineChars="400"/>
              <w:rPr>
                <w:rFonts w:hint="eastAsia" w:ascii="楷体" w:hAnsi="楷体" w:eastAsia="楷体" w:cs="楷体"/>
                <w:kern w:val="2"/>
                <w:sz w:val="21"/>
                <w:szCs w:val="21"/>
                <w:lang w:val="en-US" w:eastAsia="zh-CN" w:bidi="ar-SA"/>
              </w:rPr>
            </w:pPr>
            <w:r>
              <w:rPr>
                <w:rFonts w:hint="eastAsia" w:ascii="楷体" w:hAnsi="楷体" w:eastAsia="楷体" w:cs="楷体"/>
                <w:szCs w:val="21"/>
                <w:lang w:val="en-US" w:eastAsia="zh-CN"/>
              </w:rPr>
              <w:t xml:space="preserve"> 7元/吨</w:t>
            </w:r>
          </w:p>
        </w:tc>
        <w:tc>
          <w:tcPr>
            <w:tcW w:w="1058" w:type="dxa"/>
            <w:vMerge w:val="restart"/>
            <w:vAlign w:val="center"/>
          </w:tcPr>
          <w:p w14:paraId="2BBCEE86">
            <w:pPr>
              <w:adjustRightInd w:val="0"/>
              <w:snapToGrid w:val="0"/>
              <w:jc w:val="center"/>
              <w:rPr>
                <w:rFonts w:hint="eastAsia" w:ascii="楷体" w:hAnsi="楷体" w:eastAsia="楷体" w:cs="楷体"/>
                <w:color w:val="auto"/>
                <w:kern w:val="0"/>
                <w:sz w:val="24"/>
                <w:highlight w:val="none"/>
                <w:lang w:val="en-US" w:eastAsia="zh-CN"/>
              </w:rPr>
            </w:pPr>
            <w:r>
              <w:rPr>
                <w:rFonts w:hint="eastAsia" w:ascii="楷体" w:hAnsi="楷体" w:eastAsia="楷体" w:cs="楷体"/>
                <w:szCs w:val="21"/>
                <w:lang w:val="en-US" w:eastAsia="zh-CN"/>
              </w:rPr>
              <w:t>1391620</w:t>
            </w:r>
          </w:p>
        </w:tc>
        <w:tc>
          <w:tcPr>
            <w:tcW w:w="1001" w:type="dxa"/>
            <w:vMerge w:val="restart"/>
            <w:vAlign w:val="center"/>
          </w:tcPr>
          <w:p w14:paraId="1E227E6F">
            <w:pPr>
              <w:adjustRightInd w:val="0"/>
              <w:snapToGrid w:val="0"/>
              <w:jc w:val="center"/>
              <w:rPr>
                <w:rFonts w:hint="eastAsia" w:ascii="楷体" w:hAnsi="楷体" w:eastAsia="楷体" w:cs="楷体"/>
                <w:szCs w:val="21"/>
                <w:lang w:val="en-US" w:eastAsia="zh-CN"/>
              </w:rPr>
            </w:pPr>
            <w:r>
              <w:rPr>
                <w:rFonts w:hint="eastAsia" w:ascii="楷体" w:hAnsi="楷体" w:eastAsia="楷体" w:cs="楷体"/>
                <w:sz w:val="24"/>
                <w:szCs w:val="24"/>
                <w:lang w:val="en-US" w:eastAsia="zh-CN"/>
              </w:rPr>
              <w:t>整体打包拍卖，</w:t>
            </w:r>
            <w:r>
              <w:rPr>
                <w:rFonts w:hint="eastAsia" w:ascii="楷体" w:hAnsi="楷体" w:eastAsia="楷体" w:cs="楷体"/>
                <w:i w:val="0"/>
                <w:iCs w:val="0"/>
                <w:caps w:val="0"/>
                <w:color w:val="000000"/>
                <w:spacing w:val="0"/>
                <w:sz w:val="24"/>
                <w:szCs w:val="24"/>
                <w:shd w:val="clear" w:fill="FFFFFF"/>
              </w:rPr>
              <w:t>起拍价为现场堆放场地价，不含税</w:t>
            </w:r>
            <w:r>
              <w:rPr>
                <w:rFonts w:hint="eastAsia" w:ascii="楷体" w:hAnsi="楷体" w:eastAsia="楷体" w:cs="楷体"/>
                <w:i w:val="0"/>
                <w:iCs w:val="0"/>
                <w:caps w:val="0"/>
                <w:color w:val="000000"/>
                <w:spacing w:val="0"/>
                <w:sz w:val="24"/>
                <w:szCs w:val="24"/>
                <w:shd w:val="clear" w:fill="FFFFFF"/>
                <w:lang w:eastAsia="zh-CN"/>
              </w:rPr>
              <w:t>。</w:t>
            </w:r>
          </w:p>
        </w:tc>
      </w:tr>
      <w:bookmarkEnd w:id="0"/>
      <w:tr w14:paraId="6102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2089" w:type="dxa"/>
            <w:vMerge w:val="continue"/>
            <w:vAlign w:val="center"/>
          </w:tcPr>
          <w:p w14:paraId="01EC0B9C">
            <w:pPr>
              <w:adjustRightInd w:val="0"/>
              <w:snapToGrid w:val="0"/>
              <w:jc w:val="center"/>
              <w:rPr>
                <w:rFonts w:hint="eastAsia" w:ascii="楷体" w:hAnsi="楷体" w:eastAsia="楷体" w:cs="楷体"/>
                <w:color w:val="auto"/>
                <w:kern w:val="0"/>
                <w:sz w:val="21"/>
                <w:szCs w:val="21"/>
                <w:highlight w:val="none"/>
                <w:lang w:val="en-US" w:eastAsia="zh-CN"/>
              </w:rPr>
            </w:pPr>
          </w:p>
        </w:tc>
        <w:tc>
          <w:tcPr>
            <w:tcW w:w="2005" w:type="dxa"/>
            <w:shd w:val="clear" w:color="auto" w:fill="auto"/>
          </w:tcPr>
          <w:p w14:paraId="44FB94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楷体" w:hAnsi="楷体" w:eastAsia="楷体" w:cs="楷体"/>
                <w:kern w:val="2"/>
                <w:sz w:val="21"/>
                <w:szCs w:val="21"/>
                <w:lang w:val="en-US" w:eastAsia="zh-CN" w:bidi="ar-SA"/>
              </w:rPr>
            </w:pPr>
            <w:r>
              <w:rPr>
                <w:rFonts w:hint="eastAsia" w:ascii="楷体" w:hAnsi="楷体" w:eastAsia="楷体" w:cs="楷体"/>
                <w:i w:val="0"/>
                <w:iCs w:val="0"/>
                <w:caps w:val="0"/>
                <w:color w:val="000000"/>
                <w:spacing w:val="0"/>
                <w:kern w:val="0"/>
                <w:sz w:val="21"/>
                <w:szCs w:val="21"/>
                <w:lang w:val="en-US" w:eastAsia="zh-CN"/>
              </w:rPr>
              <w:t>宜兴市张渚镇东龙村南天门土地复垦整改余弃土石料</w:t>
            </w:r>
          </w:p>
        </w:tc>
        <w:tc>
          <w:tcPr>
            <w:tcW w:w="1384" w:type="dxa"/>
            <w:shd w:val="clear" w:color="auto" w:fill="auto"/>
          </w:tcPr>
          <w:p w14:paraId="760B4BF4">
            <w:pPr>
              <w:ind w:firstLine="1260" w:firstLineChars="600"/>
              <w:rPr>
                <w:rFonts w:hint="eastAsia" w:ascii="楷体" w:hAnsi="楷体" w:eastAsia="楷体" w:cs="楷体"/>
                <w:kern w:val="2"/>
                <w:sz w:val="21"/>
                <w:szCs w:val="21"/>
                <w:lang w:val="en-US" w:eastAsia="zh-CN" w:bidi="ar-SA"/>
              </w:rPr>
            </w:pPr>
            <w:r>
              <w:rPr>
                <w:rFonts w:hint="eastAsia" w:ascii="楷体" w:hAnsi="楷体" w:eastAsia="楷体" w:cs="楷体"/>
                <w:szCs w:val="21"/>
                <w:lang w:val="en-US" w:eastAsia="zh-CN"/>
              </w:rPr>
              <w:t xml:space="preserve"> 67741.96吨</w:t>
            </w:r>
          </w:p>
        </w:tc>
        <w:tc>
          <w:tcPr>
            <w:tcW w:w="1050" w:type="dxa"/>
            <w:shd w:val="clear" w:color="auto" w:fill="auto"/>
          </w:tcPr>
          <w:p w14:paraId="7373E4AC">
            <w:pPr>
              <w:ind w:firstLine="840" w:firstLineChars="400"/>
              <w:rPr>
                <w:rFonts w:hint="eastAsia" w:ascii="楷体" w:hAnsi="楷体" w:eastAsia="楷体" w:cs="楷体"/>
                <w:kern w:val="2"/>
                <w:sz w:val="21"/>
                <w:szCs w:val="21"/>
                <w:lang w:val="en-US" w:eastAsia="zh-CN" w:bidi="ar-SA"/>
              </w:rPr>
            </w:pPr>
            <w:r>
              <w:rPr>
                <w:rFonts w:hint="eastAsia" w:ascii="楷体" w:hAnsi="楷体" w:eastAsia="楷体" w:cs="楷体"/>
                <w:szCs w:val="21"/>
                <w:lang w:val="en-US" w:eastAsia="zh-CN"/>
              </w:rPr>
              <w:t xml:space="preserve"> 11元/吨</w:t>
            </w:r>
          </w:p>
        </w:tc>
        <w:tc>
          <w:tcPr>
            <w:tcW w:w="1058" w:type="dxa"/>
            <w:vMerge w:val="continue"/>
            <w:vAlign w:val="center"/>
          </w:tcPr>
          <w:p w14:paraId="17EB1F12">
            <w:pPr>
              <w:adjustRightInd w:val="0"/>
              <w:snapToGrid w:val="0"/>
              <w:jc w:val="center"/>
              <w:rPr>
                <w:rFonts w:hint="eastAsia" w:ascii="楷体" w:hAnsi="楷体" w:eastAsia="楷体" w:cs="楷体"/>
                <w:color w:val="auto"/>
                <w:kern w:val="0"/>
                <w:sz w:val="24"/>
                <w:highlight w:val="none"/>
                <w:lang w:val="en-US" w:eastAsia="zh-CN"/>
              </w:rPr>
            </w:pPr>
          </w:p>
        </w:tc>
        <w:tc>
          <w:tcPr>
            <w:tcW w:w="1001" w:type="dxa"/>
            <w:vMerge w:val="continue"/>
            <w:vAlign w:val="center"/>
          </w:tcPr>
          <w:p w14:paraId="0E364F78">
            <w:pPr>
              <w:adjustRightInd w:val="0"/>
              <w:snapToGrid w:val="0"/>
              <w:jc w:val="center"/>
              <w:rPr>
                <w:rFonts w:hint="eastAsia" w:ascii="楷体" w:hAnsi="楷体" w:eastAsia="楷体" w:cs="楷体"/>
                <w:color w:val="auto"/>
                <w:kern w:val="0"/>
                <w:sz w:val="24"/>
                <w:highlight w:val="none"/>
                <w:lang w:val="en-US" w:eastAsia="zh-CN"/>
              </w:rPr>
            </w:pPr>
          </w:p>
        </w:tc>
      </w:tr>
      <w:tr w14:paraId="2093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2089" w:type="dxa"/>
            <w:vMerge w:val="continue"/>
            <w:vAlign w:val="center"/>
          </w:tcPr>
          <w:p w14:paraId="3137D385">
            <w:pPr>
              <w:adjustRightInd w:val="0"/>
              <w:snapToGrid w:val="0"/>
              <w:jc w:val="center"/>
              <w:rPr>
                <w:rFonts w:hint="eastAsia" w:ascii="楷体" w:hAnsi="楷体" w:eastAsia="楷体" w:cs="楷体"/>
                <w:color w:val="auto"/>
                <w:kern w:val="0"/>
                <w:sz w:val="21"/>
                <w:szCs w:val="21"/>
                <w:highlight w:val="none"/>
                <w:lang w:val="en-US" w:eastAsia="zh-CN"/>
              </w:rPr>
            </w:pPr>
          </w:p>
        </w:tc>
        <w:tc>
          <w:tcPr>
            <w:tcW w:w="2005" w:type="dxa"/>
            <w:shd w:val="clear" w:color="auto" w:fill="auto"/>
          </w:tcPr>
          <w:p w14:paraId="60810F65">
            <w:pPr>
              <w:rPr>
                <w:rFonts w:hint="eastAsia" w:ascii="楷体" w:hAnsi="楷体" w:eastAsia="楷体" w:cs="楷体"/>
                <w:kern w:val="2"/>
                <w:sz w:val="21"/>
                <w:szCs w:val="21"/>
                <w:lang w:val="en-US" w:eastAsia="zh-CN" w:bidi="ar-SA"/>
              </w:rPr>
            </w:pPr>
            <w:r>
              <w:rPr>
                <w:rFonts w:hint="eastAsia" w:ascii="楷体" w:hAnsi="楷体" w:eastAsia="楷体" w:cs="楷体"/>
                <w:i w:val="0"/>
                <w:iCs w:val="0"/>
                <w:caps w:val="0"/>
                <w:color w:val="000000"/>
                <w:spacing w:val="0"/>
                <w:kern w:val="0"/>
                <w:sz w:val="21"/>
                <w:szCs w:val="21"/>
                <w:lang w:val="en-US" w:eastAsia="zh-CN"/>
              </w:rPr>
              <w:t>宜兴市张渚镇南山建材东地块没收土石料</w:t>
            </w:r>
          </w:p>
        </w:tc>
        <w:tc>
          <w:tcPr>
            <w:tcW w:w="1384" w:type="dxa"/>
            <w:shd w:val="clear" w:color="auto" w:fill="auto"/>
          </w:tcPr>
          <w:p w14:paraId="1429ABB6">
            <w:pPr>
              <w:ind w:firstLine="1260" w:firstLineChars="600"/>
              <w:rPr>
                <w:rFonts w:hint="eastAsia" w:ascii="楷体" w:hAnsi="楷体" w:eastAsia="楷体" w:cs="楷体"/>
                <w:kern w:val="2"/>
                <w:sz w:val="21"/>
                <w:szCs w:val="21"/>
                <w:lang w:val="en-US" w:eastAsia="zh-CN" w:bidi="ar-SA"/>
              </w:rPr>
            </w:pPr>
            <w:r>
              <w:rPr>
                <w:rFonts w:hint="eastAsia" w:ascii="楷体" w:hAnsi="楷体" w:eastAsia="楷体" w:cs="楷体"/>
                <w:szCs w:val="21"/>
                <w:lang w:val="en-US" w:eastAsia="zh-CN"/>
              </w:rPr>
              <w:t xml:space="preserve"> 922.68吨</w:t>
            </w:r>
          </w:p>
        </w:tc>
        <w:tc>
          <w:tcPr>
            <w:tcW w:w="1050" w:type="dxa"/>
            <w:shd w:val="clear" w:color="auto" w:fill="auto"/>
          </w:tcPr>
          <w:p w14:paraId="05AE3AB2">
            <w:pPr>
              <w:ind w:firstLine="840" w:firstLineChars="400"/>
              <w:rPr>
                <w:rFonts w:hint="eastAsia" w:ascii="楷体" w:hAnsi="楷体" w:eastAsia="楷体" w:cs="楷体"/>
                <w:kern w:val="2"/>
                <w:sz w:val="21"/>
                <w:szCs w:val="21"/>
                <w:lang w:val="en-US" w:eastAsia="zh-CN" w:bidi="ar-SA"/>
              </w:rPr>
            </w:pPr>
            <w:r>
              <w:rPr>
                <w:rFonts w:hint="eastAsia" w:ascii="楷体" w:hAnsi="楷体" w:eastAsia="楷体" w:cs="楷体"/>
                <w:szCs w:val="21"/>
                <w:lang w:val="en-US" w:eastAsia="zh-CN"/>
              </w:rPr>
              <w:t xml:space="preserve"> 16元/吨</w:t>
            </w:r>
          </w:p>
        </w:tc>
        <w:tc>
          <w:tcPr>
            <w:tcW w:w="1058" w:type="dxa"/>
            <w:vMerge w:val="continue"/>
            <w:vAlign w:val="center"/>
          </w:tcPr>
          <w:p w14:paraId="2E9B52BA">
            <w:pPr>
              <w:adjustRightInd w:val="0"/>
              <w:snapToGrid w:val="0"/>
              <w:jc w:val="center"/>
              <w:rPr>
                <w:rFonts w:hint="eastAsia" w:ascii="楷体" w:hAnsi="楷体" w:eastAsia="楷体" w:cs="楷体"/>
                <w:color w:val="auto"/>
                <w:kern w:val="0"/>
                <w:sz w:val="24"/>
                <w:highlight w:val="none"/>
                <w:lang w:val="en-US" w:eastAsia="zh-CN"/>
              </w:rPr>
            </w:pPr>
          </w:p>
        </w:tc>
        <w:tc>
          <w:tcPr>
            <w:tcW w:w="1001" w:type="dxa"/>
            <w:vMerge w:val="continue"/>
            <w:vAlign w:val="center"/>
          </w:tcPr>
          <w:p w14:paraId="4944A8A8">
            <w:pPr>
              <w:adjustRightInd w:val="0"/>
              <w:snapToGrid w:val="0"/>
              <w:jc w:val="center"/>
              <w:rPr>
                <w:rFonts w:hint="eastAsia" w:ascii="楷体" w:hAnsi="楷体" w:eastAsia="楷体" w:cs="楷体"/>
                <w:color w:val="auto"/>
                <w:kern w:val="0"/>
                <w:sz w:val="24"/>
                <w:highlight w:val="none"/>
                <w:lang w:val="en-US" w:eastAsia="zh-CN"/>
              </w:rPr>
            </w:pPr>
          </w:p>
        </w:tc>
      </w:tr>
    </w:tbl>
    <w:p w14:paraId="6B9BECD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outlineLvl w:val="9"/>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第二条 拍卖时间及地点</w:t>
      </w:r>
    </w:p>
    <w:p w14:paraId="0F0902B4">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1、拍卖时间：202</w:t>
      </w:r>
      <w:r>
        <w:rPr>
          <w:rFonts w:hint="eastAsia" w:ascii="楷体" w:hAnsi="楷体" w:eastAsia="楷体" w:cs="楷体"/>
          <w:b w:val="0"/>
          <w:bCs w:val="0"/>
          <w:color w:val="auto"/>
          <w:sz w:val="28"/>
          <w:szCs w:val="28"/>
          <w:lang w:val="en-US" w:eastAsia="zh-CN"/>
        </w:rPr>
        <w:t>6</w:t>
      </w:r>
      <w:r>
        <w:rPr>
          <w:rFonts w:hint="eastAsia" w:ascii="楷体" w:hAnsi="楷体" w:eastAsia="楷体" w:cs="楷体"/>
          <w:b w:val="0"/>
          <w:bCs w:val="0"/>
          <w:color w:val="auto"/>
          <w:sz w:val="28"/>
          <w:szCs w:val="28"/>
        </w:rPr>
        <w:t xml:space="preserve">年 </w:t>
      </w:r>
      <w:r>
        <w:rPr>
          <w:rFonts w:hint="eastAsia" w:ascii="楷体" w:hAnsi="楷体" w:eastAsia="楷体" w:cs="楷体"/>
          <w:b w:val="0"/>
          <w:bCs w:val="0"/>
          <w:color w:val="auto"/>
          <w:sz w:val="28"/>
          <w:szCs w:val="28"/>
          <w:lang w:val="en-US" w:eastAsia="zh-CN"/>
        </w:rPr>
        <w:t>6</w:t>
      </w:r>
      <w:r>
        <w:rPr>
          <w:rFonts w:hint="eastAsia" w:ascii="楷体" w:hAnsi="楷体" w:eastAsia="楷体" w:cs="楷体"/>
          <w:b w:val="0"/>
          <w:bCs w:val="0"/>
          <w:color w:val="auto"/>
          <w:sz w:val="28"/>
          <w:szCs w:val="28"/>
        </w:rPr>
        <w:t xml:space="preserve">月 </w:t>
      </w:r>
      <w:r>
        <w:rPr>
          <w:rFonts w:hint="eastAsia" w:ascii="楷体" w:hAnsi="楷体" w:eastAsia="楷体" w:cs="楷体"/>
          <w:b w:val="0"/>
          <w:bCs w:val="0"/>
          <w:color w:val="auto"/>
          <w:sz w:val="28"/>
          <w:szCs w:val="28"/>
          <w:lang w:val="en-US" w:eastAsia="zh-CN"/>
        </w:rPr>
        <w:t>23</w:t>
      </w:r>
      <w:r>
        <w:rPr>
          <w:rFonts w:hint="eastAsia" w:ascii="楷体" w:hAnsi="楷体" w:eastAsia="楷体" w:cs="楷体"/>
          <w:b w:val="0"/>
          <w:bCs w:val="0"/>
          <w:color w:val="auto"/>
          <w:sz w:val="28"/>
          <w:szCs w:val="28"/>
        </w:rPr>
        <w:t xml:space="preserve">日上午 9:00。                </w:t>
      </w:r>
    </w:p>
    <w:p w14:paraId="7328B07C">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2、拍卖地点：宜兴市公共资源交易中心二楼</w:t>
      </w:r>
      <w:bookmarkStart w:id="1" w:name="_Hlk154153367"/>
      <w:r>
        <w:rPr>
          <w:rFonts w:hint="eastAsia" w:ascii="楷体" w:hAnsi="楷体" w:eastAsia="楷体" w:cs="楷体"/>
          <w:b w:val="0"/>
          <w:bCs w:val="0"/>
          <w:color w:val="auto"/>
          <w:sz w:val="28"/>
          <w:szCs w:val="28"/>
          <w:lang w:val="en-US" w:eastAsia="zh-CN"/>
        </w:rPr>
        <w:t>多功能厅</w:t>
      </w:r>
      <w:r>
        <w:rPr>
          <w:rFonts w:hint="eastAsia" w:ascii="楷体" w:hAnsi="楷体" w:eastAsia="楷体" w:cs="楷体"/>
          <w:b w:val="0"/>
          <w:bCs w:val="0"/>
          <w:color w:val="auto"/>
          <w:sz w:val="28"/>
          <w:szCs w:val="28"/>
        </w:rPr>
        <w:t>(宜兴市陶都路125号)</w:t>
      </w:r>
      <w:bookmarkEnd w:id="1"/>
    </w:p>
    <w:p w14:paraId="6F6E2AAC">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第三条 拍卖报名</w:t>
      </w:r>
    </w:p>
    <w:p w14:paraId="5096AA37">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firstLine="420"/>
        <w:jc w:val="both"/>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shd w:val="clear" w:color="auto" w:fill="FFFFFF"/>
        </w:rPr>
        <w:t>1、</w:t>
      </w:r>
      <w:bookmarkStart w:id="2" w:name="_Hlk154154618"/>
      <w:r>
        <w:rPr>
          <w:rFonts w:hint="eastAsia" w:ascii="楷体" w:hAnsi="楷体" w:eastAsia="楷体" w:cs="楷体"/>
          <w:b w:val="0"/>
          <w:bCs w:val="0"/>
          <w:color w:val="auto"/>
          <w:sz w:val="28"/>
          <w:szCs w:val="28"/>
          <w:shd w:val="clear" w:color="auto" w:fill="FFFFFF"/>
        </w:rPr>
        <w:t>报名截止时间</w:t>
      </w:r>
      <w:bookmarkEnd w:id="2"/>
      <w:r>
        <w:rPr>
          <w:rFonts w:hint="eastAsia" w:ascii="楷体" w:hAnsi="楷体" w:eastAsia="楷体" w:cs="楷体"/>
          <w:b w:val="0"/>
          <w:bCs w:val="0"/>
          <w:color w:val="auto"/>
          <w:sz w:val="28"/>
          <w:szCs w:val="28"/>
          <w:shd w:val="clear" w:color="auto" w:fill="FFFFFF"/>
        </w:rPr>
        <w:t xml:space="preserve">： </w:t>
      </w:r>
      <w:bookmarkStart w:id="3" w:name="_Hlk154154629"/>
      <w:r>
        <w:rPr>
          <w:rFonts w:hint="eastAsia" w:ascii="楷体" w:hAnsi="楷体" w:eastAsia="楷体" w:cs="楷体"/>
          <w:b w:val="0"/>
          <w:bCs w:val="0"/>
          <w:color w:val="auto"/>
          <w:sz w:val="28"/>
          <w:szCs w:val="28"/>
          <w:shd w:val="clear" w:color="auto" w:fill="FFFFFF"/>
        </w:rPr>
        <w:t>202</w:t>
      </w:r>
      <w:r>
        <w:rPr>
          <w:rFonts w:hint="eastAsia" w:ascii="楷体" w:hAnsi="楷体" w:eastAsia="楷体" w:cs="楷体"/>
          <w:b w:val="0"/>
          <w:bCs w:val="0"/>
          <w:color w:val="auto"/>
          <w:sz w:val="28"/>
          <w:szCs w:val="28"/>
          <w:shd w:val="clear" w:color="auto" w:fill="FFFFFF"/>
          <w:lang w:val="en-US" w:eastAsia="zh-CN"/>
        </w:rPr>
        <w:t>6</w:t>
      </w:r>
      <w:r>
        <w:rPr>
          <w:rFonts w:hint="eastAsia" w:ascii="楷体" w:hAnsi="楷体" w:eastAsia="楷体" w:cs="楷体"/>
          <w:b w:val="0"/>
          <w:bCs w:val="0"/>
          <w:color w:val="auto"/>
          <w:sz w:val="28"/>
          <w:szCs w:val="28"/>
          <w:shd w:val="clear" w:color="auto" w:fill="FFFFFF"/>
        </w:rPr>
        <w:t xml:space="preserve">年 </w:t>
      </w:r>
      <w:r>
        <w:rPr>
          <w:rFonts w:hint="eastAsia" w:ascii="楷体" w:hAnsi="楷体" w:eastAsia="楷体" w:cs="楷体"/>
          <w:b w:val="0"/>
          <w:bCs w:val="0"/>
          <w:color w:val="auto"/>
          <w:sz w:val="28"/>
          <w:szCs w:val="28"/>
          <w:shd w:val="clear" w:color="auto" w:fill="FFFFFF"/>
          <w:lang w:val="en-US" w:eastAsia="zh-CN"/>
        </w:rPr>
        <w:t>6</w:t>
      </w:r>
      <w:r>
        <w:rPr>
          <w:rFonts w:hint="eastAsia" w:ascii="楷体" w:hAnsi="楷体" w:eastAsia="楷体" w:cs="楷体"/>
          <w:b w:val="0"/>
          <w:bCs w:val="0"/>
          <w:color w:val="auto"/>
          <w:sz w:val="28"/>
          <w:szCs w:val="28"/>
          <w:shd w:val="clear" w:color="auto" w:fill="FFFFFF"/>
        </w:rPr>
        <w:t>月</w:t>
      </w:r>
      <w:r>
        <w:rPr>
          <w:rFonts w:hint="eastAsia" w:ascii="楷体" w:hAnsi="楷体" w:eastAsia="楷体" w:cs="楷体"/>
          <w:b w:val="0"/>
          <w:bCs w:val="0"/>
          <w:color w:val="auto"/>
          <w:sz w:val="28"/>
          <w:szCs w:val="28"/>
          <w:shd w:val="clear" w:color="auto" w:fill="FFFFFF"/>
          <w:lang w:val="en-US" w:eastAsia="zh-CN"/>
        </w:rPr>
        <w:t>22</w:t>
      </w:r>
      <w:r>
        <w:rPr>
          <w:rFonts w:hint="eastAsia" w:ascii="楷体" w:hAnsi="楷体" w:eastAsia="楷体" w:cs="楷体"/>
          <w:b w:val="0"/>
          <w:bCs w:val="0"/>
          <w:color w:val="auto"/>
          <w:sz w:val="28"/>
          <w:szCs w:val="28"/>
          <w:shd w:val="clear" w:color="auto" w:fill="FFFFFF"/>
        </w:rPr>
        <w:t>日</w:t>
      </w:r>
      <w:bookmarkEnd w:id="3"/>
      <w:r>
        <w:rPr>
          <w:rFonts w:hint="eastAsia" w:ascii="楷体" w:hAnsi="楷体" w:eastAsia="楷体" w:cs="楷体"/>
          <w:b w:val="0"/>
          <w:bCs w:val="0"/>
          <w:color w:val="auto"/>
          <w:sz w:val="28"/>
          <w:szCs w:val="28"/>
          <w:shd w:val="clear" w:color="auto" w:fill="FFFFFF"/>
        </w:rPr>
        <w:t>16时</w:t>
      </w:r>
      <w:r>
        <w:rPr>
          <w:rFonts w:hint="eastAsia" w:ascii="楷体" w:hAnsi="楷体" w:eastAsia="楷体" w:cs="楷体"/>
          <w:b w:val="0"/>
          <w:bCs w:val="0"/>
          <w:color w:val="auto"/>
          <w:sz w:val="28"/>
          <w:szCs w:val="28"/>
          <w:shd w:val="clear" w:color="auto" w:fill="FFFFFF"/>
          <w:lang w:val="en-US" w:eastAsia="zh-CN"/>
        </w:rPr>
        <w:t>30分</w:t>
      </w:r>
    </w:p>
    <w:p w14:paraId="4A0B5E63">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firstLine="420"/>
        <w:jc w:val="both"/>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shd w:val="clear" w:color="auto" w:fill="FFFFFF"/>
        </w:rPr>
        <w:t>2、</w:t>
      </w:r>
      <w:bookmarkStart w:id="4" w:name="_Hlk154154819"/>
      <w:r>
        <w:rPr>
          <w:rFonts w:hint="eastAsia" w:ascii="楷体" w:hAnsi="楷体" w:eastAsia="楷体" w:cs="楷体"/>
          <w:b w:val="0"/>
          <w:bCs w:val="0"/>
          <w:color w:val="auto"/>
          <w:sz w:val="28"/>
          <w:szCs w:val="28"/>
          <w:shd w:val="clear" w:color="auto" w:fill="FFFFFF"/>
        </w:rPr>
        <w:t>报名程序及注意事项</w:t>
      </w:r>
      <w:bookmarkEnd w:id="4"/>
      <w:r>
        <w:rPr>
          <w:rFonts w:hint="eastAsia" w:ascii="楷体" w:hAnsi="楷体" w:eastAsia="楷体" w:cs="楷体"/>
          <w:b w:val="0"/>
          <w:bCs w:val="0"/>
          <w:color w:val="auto"/>
          <w:sz w:val="28"/>
          <w:szCs w:val="28"/>
          <w:shd w:val="clear" w:color="auto" w:fill="FFFFFF"/>
        </w:rPr>
        <w:t>：</w:t>
      </w:r>
    </w:p>
    <w:p w14:paraId="3220CB49">
      <w:pPr>
        <w:pStyle w:val="4"/>
        <w:shd w:val="clear" w:color="auto" w:fill="FFFFFF"/>
        <w:spacing w:before="0" w:beforeAutospacing="0" w:after="0" w:afterAutospacing="0"/>
        <w:ind w:firstLine="481"/>
        <w:jc w:val="both"/>
        <w:rPr>
          <w:rFonts w:hint="eastAsia" w:ascii="楷体" w:hAnsi="楷体" w:eastAsia="楷体" w:cs="楷体"/>
          <w:color w:val="auto"/>
          <w:sz w:val="28"/>
          <w:szCs w:val="28"/>
          <w:highlight w:val="none"/>
          <w:lang w:val="en-US"/>
        </w:rPr>
      </w:pPr>
      <w:r>
        <w:rPr>
          <w:rFonts w:hint="eastAsia" w:ascii="楷体" w:hAnsi="楷体" w:eastAsia="楷体" w:cs="楷体"/>
          <w:b w:val="0"/>
          <w:bCs w:val="0"/>
          <w:color w:val="auto"/>
          <w:sz w:val="28"/>
          <w:szCs w:val="28"/>
          <w:shd w:val="clear" w:color="auto" w:fill="FFFFFF"/>
        </w:rPr>
        <w:t>（1）注册会员：</w:t>
      </w:r>
      <w:r>
        <w:rPr>
          <w:rFonts w:hint="eastAsia" w:ascii="楷体" w:hAnsi="楷体" w:eastAsia="楷体" w:cs="楷体"/>
          <w:b w:val="0"/>
          <w:bCs w:val="0"/>
          <w:color w:val="auto"/>
          <w:sz w:val="28"/>
          <w:szCs w:val="28"/>
        </w:rPr>
        <w:t>①、竞买人须是具有完全民事行为能力的法人或其他组织；②、竞买人具有良好的征信记录，被“信用中国”网站列入失信主体(责任人)的，不得参与本次竞买活动</w:t>
      </w:r>
      <w:r>
        <w:rPr>
          <w:rFonts w:hint="eastAsia" w:ascii="楷体" w:hAnsi="楷体" w:eastAsia="楷体" w:cs="楷体"/>
          <w:b w:val="0"/>
          <w:bCs w:val="0"/>
          <w:color w:val="auto"/>
          <w:sz w:val="28"/>
          <w:szCs w:val="28"/>
          <w:lang w:eastAsia="zh-CN"/>
        </w:rPr>
        <w:t>；</w:t>
      </w:r>
      <w:r>
        <w:rPr>
          <w:rFonts w:hint="eastAsia" w:ascii="楷体" w:hAnsi="楷体" w:eastAsia="楷体" w:cs="楷体"/>
          <w:b w:val="0"/>
          <w:bCs w:val="0"/>
          <w:color w:val="auto"/>
          <w:sz w:val="28"/>
          <w:szCs w:val="28"/>
          <w:lang w:val="en-US" w:eastAsia="zh-CN"/>
        </w:rPr>
        <w:t>③、</w:t>
      </w:r>
      <w:r>
        <w:rPr>
          <w:rFonts w:hint="eastAsia" w:ascii="楷体" w:hAnsi="楷体" w:eastAsia="楷体" w:cs="楷体"/>
          <w:color w:val="auto"/>
          <w:sz w:val="28"/>
          <w:szCs w:val="28"/>
          <w:highlight w:val="none"/>
          <w:shd w:val="clear" w:color="auto" w:fill="FFFFFF"/>
          <w:lang w:val="en-US" w:eastAsia="zh-CN"/>
        </w:rPr>
        <w:t>竞买人必须具备有石子加工的环评手续方可参加竞买。</w:t>
      </w:r>
    </w:p>
    <w:p w14:paraId="3B22138B">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highlight w:val="none"/>
          <w:shd w:val="clear" w:color="auto" w:fill="FFFFFF"/>
        </w:rPr>
      </w:pPr>
      <w:r>
        <w:rPr>
          <w:rFonts w:hint="eastAsia" w:ascii="楷体" w:hAnsi="楷体" w:eastAsia="楷体" w:cs="楷体"/>
          <w:b w:val="0"/>
          <w:bCs w:val="0"/>
          <w:color w:val="auto"/>
          <w:sz w:val="28"/>
          <w:szCs w:val="28"/>
          <w:shd w:val="clear" w:color="auto" w:fill="FFFFFF"/>
          <w:lang w:eastAsia="zh-CN"/>
        </w:rPr>
        <w:t>（</w:t>
      </w:r>
      <w:r>
        <w:rPr>
          <w:rFonts w:hint="eastAsia" w:ascii="楷体" w:hAnsi="楷体" w:eastAsia="楷体" w:cs="楷体"/>
          <w:b w:val="0"/>
          <w:bCs w:val="0"/>
          <w:color w:val="auto"/>
          <w:sz w:val="28"/>
          <w:szCs w:val="28"/>
          <w:shd w:val="clear" w:color="auto" w:fill="FFFFFF"/>
          <w:lang w:val="en-US" w:eastAsia="zh-CN"/>
        </w:rPr>
        <w:t>2）</w:t>
      </w:r>
      <w:r>
        <w:rPr>
          <w:rFonts w:hint="eastAsia" w:ascii="楷体" w:hAnsi="楷体" w:eastAsia="楷体" w:cs="楷体"/>
          <w:b w:val="0"/>
          <w:bCs w:val="0"/>
          <w:color w:val="auto"/>
          <w:sz w:val="28"/>
          <w:szCs w:val="28"/>
          <w:shd w:val="clear" w:color="auto" w:fill="FFFFFF"/>
        </w:rPr>
        <w:t>竞买人应在报</w:t>
      </w:r>
      <w:r>
        <w:rPr>
          <w:rFonts w:hint="eastAsia" w:ascii="楷体" w:hAnsi="楷体" w:eastAsia="楷体" w:cs="楷体"/>
          <w:b w:val="0"/>
          <w:bCs w:val="0"/>
          <w:color w:val="auto"/>
          <w:sz w:val="28"/>
          <w:szCs w:val="28"/>
          <w:highlight w:val="none"/>
          <w:shd w:val="clear" w:color="auto" w:fill="FFFFFF"/>
        </w:rPr>
        <w:t>名截止时间前登录宜兴市公共资源交易系统，进行实名会员注册（注册信息须真实、完整、准确）；注册信息经交易中心审核通过后，竞买人即可进行报名。</w:t>
      </w:r>
    </w:p>
    <w:p w14:paraId="2B970A9B">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firstLine="481"/>
        <w:jc w:val="both"/>
        <w:textAlignment w:val="auto"/>
        <w:rPr>
          <w:rFonts w:hint="eastAsia" w:ascii="楷体" w:hAnsi="楷体" w:eastAsia="楷体" w:cs="楷体"/>
          <w:b w:val="0"/>
          <w:bCs w:val="0"/>
          <w:color w:val="auto"/>
          <w:sz w:val="28"/>
          <w:szCs w:val="28"/>
          <w:highlight w:val="none"/>
          <w:shd w:val="clear" w:color="auto" w:fill="FFFFFF"/>
        </w:rPr>
      </w:pPr>
      <w:r>
        <w:rPr>
          <w:rFonts w:hint="eastAsia" w:ascii="楷体" w:hAnsi="楷体" w:eastAsia="楷体" w:cs="楷体"/>
          <w:b w:val="0"/>
          <w:bCs w:val="0"/>
          <w:color w:val="auto"/>
          <w:sz w:val="28"/>
          <w:szCs w:val="28"/>
          <w:highlight w:val="none"/>
          <w:shd w:val="clear" w:color="auto" w:fill="FFFFFF"/>
        </w:rPr>
        <w:t>（</w:t>
      </w:r>
      <w:r>
        <w:rPr>
          <w:rFonts w:hint="eastAsia" w:ascii="楷体" w:hAnsi="楷体" w:eastAsia="楷体" w:cs="楷体"/>
          <w:b w:val="0"/>
          <w:bCs w:val="0"/>
          <w:color w:val="auto"/>
          <w:sz w:val="28"/>
          <w:szCs w:val="28"/>
          <w:highlight w:val="none"/>
          <w:shd w:val="clear" w:color="auto" w:fill="FFFFFF"/>
          <w:lang w:val="en-US" w:eastAsia="zh-CN"/>
        </w:rPr>
        <w:t>3</w:t>
      </w:r>
      <w:r>
        <w:rPr>
          <w:rFonts w:hint="eastAsia" w:ascii="楷体" w:hAnsi="楷体" w:eastAsia="楷体" w:cs="楷体"/>
          <w:b w:val="0"/>
          <w:bCs w:val="0"/>
          <w:color w:val="auto"/>
          <w:sz w:val="28"/>
          <w:szCs w:val="28"/>
          <w:highlight w:val="none"/>
          <w:shd w:val="clear" w:color="auto" w:fill="FFFFFF"/>
        </w:rPr>
        <w:t>）交纳保证金：</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700"/>
        <w:gridCol w:w="5685"/>
      </w:tblGrid>
      <w:tr w14:paraId="3E94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83" w:type="dxa"/>
            <w:vAlign w:val="center"/>
          </w:tcPr>
          <w:p w14:paraId="6B9F9C01">
            <w:pPr>
              <w:pStyle w:val="4"/>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val="0"/>
                <w:bCs w:val="0"/>
                <w:color w:val="auto"/>
                <w:sz w:val="28"/>
                <w:szCs w:val="28"/>
                <w:highlight w:val="none"/>
                <w:shd w:val="clear" w:color="auto" w:fill="FFFFFF"/>
              </w:rPr>
            </w:pPr>
            <w:r>
              <w:rPr>
                <w:rFonts w:hint="eastAsia" w:ascii="楷体" w:hAnsi="楷体" w:eastAsia="楷体" w:cs="楷体"/>
                <w:b w:val="0"/>
                <w:bCs w:val="0"/>
                <w:color w:val="auto"/>
                <w:sz w:val="28"/>
                <w:szCs w:val="28"/>
                <w:highlight w:val="none"/>
                <w:shd w:val="clear" w:color="auto" w:fill="FFFFFF"/>
              </w:rPr>
              <w:t>序号</w:t>
            </w:r>
          </w:p>
        </w:tc>
        <w:tc>
          <w:tcPr>
            <w:tcW w:w="1700" w:type="dxa"/>
            <w:vAlign w:val="center"/>
          </w:tcPr>
          <w:p w14:paraId="3A1A095E">
            <w:pPr>
              <w:pStyle w:val="4"/>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val="0"/>
                <w:bCs w:val="0"/>
                <w:color w:val="auto"/>
                <w:sz w:val="28"/>
                <w:szCs w:val="28"/>
                <w:highlight w:val="none"/>
                <w:shd w:val="clear" w:color="auto" w:fill="FFFFFF"/>
              </w:rPr>
            </w:pPr>
            <w:r>
              <w:rPr>
                <w:rFonts w:hint="eastAsia" w:ascii="楷体" w:hAnsi="楷体" w:eastAsia="楷体" w:cs="楷体"/>
                <w:b w:val="0"/>
                <w:bCs w:val="0"/>
                <w:color w:val="auto"/>
                <w:sz w:val="28"/>
                <w:szCs w:val="28"/>
                <w:highlight w:val="none"/>
                <w:shd w:val="clear" w:color="auto" w:fill="FFFFFF"/>
              </w:rPr>
              <w:t>拍卖保证金</w:t>
            </w:r>
          </w:p>
        </w:tc>
        <w:tc>
          <w:tcPr>
            <w:tcW w:w="5685" w:type="dxa"/>
            <w:vAlign w:val="center"/>
          </w:tcPr>
          <w:p w14:paraId="16F84D5A">
            <w:pPr>
              <w:pStyle w:val="4"/>
              <w:keepNext w:val="0"/>
              <w:keepLines w:val="0"/>
              <w:pageBreakBefore w:val="0"/>
              <w:widowControl w:val="0"/>
              <w:kinsoku/>
              <w:wordWrap/>
              <w:overflowPunct/>
              <w:topLinePunct w:val="0"/>
              <w:autoSpaceDE/>
              <w:autoSpaceDN/>
              <w:bidi w:val="0"/>
              <w:spacing w:beforeAutospacing="0" w:afterAutospacing="0" w:line="360" w:lineRule="auto"/>
              <w:ind w:firstLine="480"/>
              <w:jc w:val="center"/>
              <w:textAlignment w:val="auto"/>
              <w:rPr>
                <w:rFonts w:hint="eastAsia" w:ascii="楷体" w:hAnsi="楷体" w:eastAsia="楷体" w:cs="楷体"/>
                <w:b w:val="0"/>
                <w:bCs w:val="0"/>
                <w:color w:val="auto"/>
                <w:sz w:val="28"/>
                <w:szCs w:val="28"/>
                <w:highlight w:val="none"/>
                <w:shd w:val="clear" w:color="auto" w:fill="FFFFFF"/>
              </w:rPr>
            </w:pPr>
            <w:r>
              <w:rPr>
                <w:rFonts w:hint="eastAsia" w:ascii="楷体" w:hAnsi="楷体" w:eastAsia="楷体" w:cs="楷体"/>
                <w:b w:val="0"/>
                <w:bCs w:val="0"/>
                <w:color w:val="auto"/>
                <w:sz w:val="28"/>
                <w:szCs w:val="28"/>
                <w:highlight w:val="none"/>
                <w:shd w:val="clear" w:color="auto" w:fill="FFFFFF"/>
              </w:rPr>
              <w:t>内容</w:t>
            </w:r>
          </w:p>
        </w:tc>
      </w:tr>
      <w:tr w14:paraId="5246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0D045ADF">
            <w:pPr>
              <w:pStyle w:val="4"/>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shd w:val="clear" w:color="auto" w:fill="FFFFFF"/>
              </w:rPr>
              <w:t>1</w:t>
            </w:r>
          </w:p>
        </w:tc>
        <w:tc>
          <w:tcPr>
            <w:tcW w:w="1700" w:type="dxa"/>
            <w:vAlign w:val="center"/>
          </w:tcPr>
          <w:p w14:paraId="046B9A05">
            <w:pPr>
              <w:pStyle w:val="4"/>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shd w:val="clear" w:color="auto" w:fill="FFFFFF"/>
              </w:rPr>
              <w:t>交纳金额</w:t>
            </w:r>
          </w:p>
        </w:tc>
        <w:tc>
          <w:tcPr>
            <w:tcW w:w="5685" w:type="dxa"/>
            <w:vAlign w:val="center"/>
          </w:tcPr>
          <w:p w14:paraId="58412DD1">
            <w:pPr>
              <w:pStyle w:val="4"/>
              <w:keepNext w:val="0"/>
              <w:keepLines w:val="0"/>
              <w:pageBreakBefore w:val="0"/>
              <w:widowControl w:val="0"/>
              <w:kinsoku/>
              <w:wordWrap/>
              <w:overflowPunct/>
              <w:topLinePunct w:val="0"/>
              <w:autoSpaceDE/>
              <w:autoSpaceDN/>
              <w:bidi w:val="0"/>
              <w:spacing w:beforeAutospacing="0" w:afterAutospacing="0" w:line="360" w:lineRule="auto"/>
              <w:jc w:val="both"/>
              <w:textAlignment w:val="auto"/>
              <w:rPr>
                <w:rFonts w:hint="eastAsia" w:ascii="楷体" w:hAnsi="楷体" w:eastAsia="楷体" w:cs="楷体"/>
                <w:b w:val="0"/>
                <w:bCs w:val="0"/>
                <w:color w:val="auto"/>
                <w:sz w:val="28"/>
                <w:szCs w:val="28"/>
                <w:shd w:val="clear" w:color="auto" w:fill="FFFFFF"/>
                <w:lang w:val="en-US" w:eastAsia="zh-CN"/>
              </w:rPr>
            </w:pPr>
            <w:r>
              <w:rPr>
                <w:rFonts w:hint="eastAsia" w:ascii="楷体" w:hAnsi="楷体" w:eastAsia="楷体" w:cs="楷体"/>
                <w:b w:val="0"/>
                <w:bCs w:val="0"/>
                <w:color w:val="auto"/>
                <w:sz w:val="28"/>
                <w:szCs w:val="28"/>
                <w:shd w:val="clear" w:color="auto" w:fill="FFFFFF"/>
                <w:lang w:val="en-US" w:eastAsia="zh-CN"/>
              </w:rPr>
              <w:t>详见电子化交易系统各标的保证金子账号信息</w:t>
            </w:r>
          </w:p>
        </w:tc>
      </w:tr>
      <w:tr w14:paraId="10FE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3" w:type="dxa"/>
            <w:vAlign w:val="center"/>
          </w:tcPr>
          <w:p w14:paraId="3BDF53A3">
            <w:pPr>
              <w:pStyle w:val="4"/>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shd w:val="clear" w:color="auto" w:fill="FFFFFF"/>
              </w:rPr>
              <w:t>2</w:t>
            </w:r>
          </w:p>
        </w:tc>
        <w:tc>
          <w:tcPr>
            <w:tcW w:w="1700" w:type="dxa"/>
            <w:vAlign w:val="center"/>
          </w:tcPr>
          <w:p w14:paraId="2BB12A76">
            <w:pPr>
              <w:pStyle w:val="4"/>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rPr>
              <w:t>交纳形式</w:t>
            </w:r>
          </w:p>
        </w:tc>
        <w:tc>
          <w:tcPr>
            <w:tcW w:w="5685" w:type="dxa"/>
            <w:vAlign w:val="center"/>
          </w:tcPr>
          <w:p w14:paraId="14C73BED">
            <w:pPr>
              <w:pStyle w:val="4"/>
              <w:keepNext w:val="0"/>
              <w:keepLines w:val="0"/>
              <w:pageBreakBefore w:val="0"/>
              <w:widowControl w:val="0"/>
              <w:kinsoku/>
              <w:wordWrap/>
              <w:overflowPunct/>
              <w:topLinePunct w:val="0"/>
              <w:autoSpaceDE/>
              <w:autoSpaceDN/>
              <w:bidi w:val="0"/>
              <w:spacing w:beforeAutospacing="0" w:afterAutospacing="0" w:line="360" w:lineRule="auto"/>
              <w:jc w:val="both"/>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rPr>
              <w:t>电汇方式，竞买人须在报名截止时间前从诚信库备案的基本账户或个人账户汇到本标的保证金子账号中</w:t>
            </w:r>
          </w:p>
        </w:tc>
      </w:tr>
      <w:tr w14:paraId="2381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3" w:type="dxa"/>
            <w:vAlign w:val="center"/>
          </w:tcPr>
          <w:p w14:paraId="08E7809B">
            <w:pPr>
              <w:pStyle w:val="4"/>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shd w:val="clear" w:color="auto" w:fill="FFFFFF"/>
              </w:rPr>
              <w:t>3</w:t>
            </w:r>
          </w:p>
        </w:tc>
        <w:tc>
          <w:tcPr>
            <w:tcW w:w="1700" w:type="dxa"/>
            <w:vAlign w:val="center"/>
          </w:tcPr>
          <w:p w14:paraId="72CBAEFE">
            <w:pPr>
              <w:pStyle w:val="4"/>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rPr>
              <w:t>账户名称</w:t>
            </w:r>
          </w:p>
        </w:tc>
        <w:tc>
          <w:tcPr>
            <w:tcW w:w="5685" w:type="dxa"/>
            <w:vAlign w:val="center"/>
          </w:tcPr>
          <w:p w14:paraId="0E55CEE1">
            <w:pPr>
              <w:pStyle w:val="4"/>
              <w:keepNext w:val="0"/>
              <w:keepLines w:val="0"/>
              <w:pageBreakBefore w:val="0"/>
              <w:widowControl w:val="0"/>
              <w:kinsoku/>
              <w:wordWrap/>
              <w:overflowPunct/>
              <w:topLinePunct w:val="0"/>
              <w:autoSpaceDE/>
              <w:autoSpaceDN/>
              <w:bidi w:val="0"/>
              <w:spacing w:beforeAutospacing="0" w:afterAutospacing="0" w:line="360" w:lineRule="auto"/>
              <w:jc w:val="both"/>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rPr>
              <w:t>宜兴市公共资源交易中心</w:t>
            </w:r>
          </w:p>
        </w:tc>
      </w:tr>
      <w:tr w14:paraId="15C3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45BF1A29">
            <w:pPr>
              <w:pStyle w:val="4"/>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shd w:val="clear" w:color="auto" w:fill="FFFFFF"/>
              </w:rPr>
              <w:t>4</w:t>
            </w:r>
          </w:p>
        </w:tc>
        <w:tc>
          <w:tcPr>
            <w:tcW w:w="1700" w:type="dxa"/>
            <w:vAlign w:val="center"/>
          </w:tcPr>
          <w:p w14:paraId="5ACBBCBC">
            <w:pPr>
              <w:pStyle w:val="4"/>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rPr>
              <w:t>开户银行</w:t>
            </w:r>
          </w:p>
        </w:tc>
        <w:tc>
          <w:tcPr>
            <w:tcW w:w="5685" w:type="dxa"/>
            <w:vAlign w:val="center"/>
          </w:tcPr>
          <w:p w14:paraId="46AD9FE5">
            <w:pPr>
              <w:pStyle w:val="4"/>
              <w:keepNext w:val="0"/>
              <w:keepLines w:val="0"/>
              <w:pageBreakBefore w:val="0"/>
              <w:widowControl w:val="0"/>
              <w:kinsoku/>
              <w:wordWrap/>
              <w:overflowPunct/>
              <w:topLinePunct w:val="0"/>
              <w:autoSpaceDE/>
              <w:autoSpaceDN/>
              <w:bidi w:val="0"/>
              <w:spacing w:beforeAutospacing="0" w:afterAutospacing="0" w:line="360" w:lineRule="auto"/>
              <w:jc w:val="both"/>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rPr>
              <w:t>中国农业银行股份有限公司宜兴分行营业部</w:t>
            </w:r>
          </w:p>
        </w:tc>
      </w:tr>
      <w:tr w14:paraId="255B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3" w:type="dxa"/>
            <w:vAlign w:val="center"/>
          </w:tcPr>
          <w:p w14:paraId="3099DAA9">
            <w:pPr>
              <w:pStyle w:val="4"/>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shd w:val="clear" w:color="auto" w:fill="FFFFFF"/>
              </w:rPr>
              <w:t>5</w:t>
            </w:r>
          </w:p>
        </w:tc>
        <w:tc>
          <w:tcPr>
            <w:tcW w:w="1700" w:type="dxa"/>
            <w:vAlign w:val="center"/>
          </w:tcPr>
          <w:p w14:paraId="0A0E3A86">
            <w:pPr>
              <w:pStyle w:val="4"/>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rPr>
              <w:t>银行账号</w:t>
            </w:r>
          </w:p>
        </w:tc>
        <w:tc>
          <w:tcPr>
            <w:tcW w:w="5685" w:type="dxa"/>
            <w:vAlign w:val="center"/>
          </w:tcPr>
          <w:p w14:paraId="67C1E323">
            <w:pPr>
              <w:pStyle w:val="4"/>
              <w:keepNext w:val="0"/>
              <w:keepLines w:val="0"/>
              <w:pageBreakBefore w:val="0"/>
              <w:widowControl w:val="0"/>
              <w:kinsoku/>
              <w:wordWrap/>
              <w:overflowPunct/>
              <w:topLinePunct w:val="0"/>
              <w:autoSpaceDE/>
              <w:autoSpaceDN/>
              <w:bidi w:val="0"/>
              <w:spacing w:beforeAutospacing="0" w:afterAutospacing="0" w:line="360" w:lineRule="auto"/>
              <w:jc w:val="both"/>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rPr>
              <w:t>网上交易系统中相应标的保证金子账号即为该标的保证金账号</w:t>
            </w:r>
          </w:p>
        </w:tc>
      </w:tr>
    </w:tbl>
    <w:p w14:paraId="0D914E00">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left="490" w:leftChars="100" w:hanging="280" w:hangingChars="100"/>
        <w:jc w:val="both"/>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 xml:space="preserve">注： </w:t>
      </w:r>
    </w:p>
    <w:p w14:paraId="70A258FE">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firstLine="560" w:firstLineChars="200"/>
        <w:jc w:val="both"/>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① “网上交易系统”是指宜兴市公共资源交易中心网上交易系统。</w:t>
      </w:r>
    </w:p>
    <w:p w14:paraId="12F55CD9">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firstLine="560" w:firstLineChars="200"/>
        <w:jc w:val="both"/>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② 保证金子账号查询方式：竞买人进入网上交易系统后，即可在相应标的查看保证金子账号。</w:t>
      </w:r>
    </w:p>
    <w:p w14:paraId="2E52ECC9">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firstLine="560" w:firstLineChars="200"/>
        <w:jc w:val="both"/>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③ 保证金划出账号必须与宜兴市公共资源交易中心企业诚信库中的企业银行基本账户或个人账户的开户账号一致，否则无法进行网上保证金的交纳，请竞买人确保企业诚信库中账户的准确性和有效性。</w:t>
      </w:r>
    </w:p>
    <w:p w14:paraId="46E4780F">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firstLine="560" w:firstLineChars="200"/>
        <w:jc w:val="both"/>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④ 各竞买人应当充分考虑各种因素导致保证金入账滞后风险 （如异地、跨行到账 延迟等银行系统问题或竞买人自身汇款有误等情况），请竞买人根据自己的实际情况尽早安排好保证金的到账时间，确保保证金在报名截止时间前到账,否则造成无效报名的责任自负。</w:t>
      </w:r>
    </w:p>
    <w:p w14:paraId="3DFA84DD">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firstLine="560" w:firstLineChars="200"/>
        <w:jc w:val="both"/>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⑤ 若因系统问题，报名截止时系统无法正常显示保证金到账情况的，以实际到账(子账号)为准。</w:t>
      </w:r>
    </w:p>
    <w:p w14:paraId="65961ACF">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highlight w:val="none"/>
          <w:shd w:val="clear" w:color="auto" w:fill="FFFFFF"/>
        </w:rPr>
      </w:pPr>
      <w:r>
        <w:rPr>
          <w:rFonts w:hint="eastAsia" w:ascii="楷体" w:hAnsi="楷体" w:eastAsia="楷体" w:cs="楷体"/>
          <w:b w:val="0"/>
          <w:bCs w:val="0"/>
          <w:color w:val="auto"/>
          <w:sz w:val="28"/>
          <w:szCs w:val="28"/>
        </w:rPr>
        <w:t>⑥ 中 国 农 业 银 行 股 份 有 限 公 司 宜 兴 分 行 营 业 部 行 号 ： 103302364819。 公共资源交易中心财务咨询电话：879</w:t>
      </w:r>
      <w:r>
        <w:rPr>
          <w:rFonts w:hint="eastAsia" w:ascii="楷体" w:hAnsi="楷体" w:eastAsia="楷体" w:cs="楷体"/>
          <w:b w:val="0"/>
          <w:bCs w:val="0"/>
          <w:color w:val="auto"/>
          <w:sz w:val="28"/>
          <w:szCs w:val="28"/>
          <w:highlight w:val="none"/>
        </w:rPr>
        <w:t>56061。</w:t>
      </w:r>
    </w:p>
    <w:p w14:paraId="33118A77">
      <w:pPr>
        <w:pStyle w:val="4"/>
        <w:shd w:val="clear" w:color="auto" w:fill="FFFFFF"/>
        <w:spacing w:before="0" w:beforeAutospacing="0" w:after="0" w:afterAutospacing="0"/>
        <w:ind w:firstLine="481"/>
        <w:jc w:val="both"/>
        <w:rPr>
          <w:rFonts w:hint="eastAsia" w:ascii="楷体" w:hAnsi="楷体" w:eastAsia="楷体" w:cs="楷体"/>
          <w:color w:val="auto"/>
          <w:sz w:val="28"/>
          <w:szCs w:val="28"/>
          <w:highlight w:val="none"/>
          <w:lang w:val="en-US"/>
        </w:rPr>
      </w:pPr>
      <w:r>
        <w:rPr>
          <w:rFonts w:hint="eastAsia" w:ascii="楷体" w:hAnsi="楷体" w:eastAsia="楷体" w:cs="楷体"/>
          <w:b w:val="0"/>
          <w:bCs w:val="0"/>
          <w:color w:val="auto"/>
          <w:sz w:val="28"/>
          <w:szCs w:val="28"/>
          <w:highlight w:val="none"/>
          <w:shd w:val="clear" w:color="auto" w:fill="FFFFFF"/>
        </w:rPr>
        <w:t>（3）特殊要求：</w:t>
      </w:r>
      <w:r>
        <w:rPr>
          <w:rFonts w:hint="eastAsia" w:ascii="楷体" w:hAnsi="楷体" w:eastAsia="楷体" w:cs="楷体"/>
          <w:b w:val="0"/>
          <w:bCs w:val="0"/>
          <w:color w:val="auto"/>
          <w:sz w:val="28"/>
          <w:szCs w:val="28"/>
          <w:highlight w:val="none"/>
        </w:rPr>
        <w:t>①、竞买人须是具有完全民事行为能力的法人或其他组织；</w:t>
      </w:r>
      <w:r>
        <w:rPr>
          <w:rFonts w:hint="eastAsia" w:ascii="楷体" w:hAnsi="楷体" w:eastAsia="楷体" w:cs="楷体"/>
          <w:b w:val="0"/>
          <w:bCs w:val="0"/>
          <w:color w:val="auto"/>
          <w:sz w:val="28"/>
          <w:szCs w:val="28"/>
        </w:rPr>
        <w:t>②、竞买人具有良好的征信记录，被“信用中国”网站列入失信主体(责任人)的，不得参与本次竞买活动</w:t>
      </w:r>
      <w:r>
        <w:rPr>
          <w:rFonts w:hint="eastAsia" w:ascii="楷体" w:hAnsi="楷体" w:eastAsia="楷体" w:cs="楷体"/>
          <w:b w:val="0"/>
          <w:bCs w:val="0"/>
          <w:color w:val="auto"/>
          <w:sz w:val="28"/>
          <w:szCs w:val="28"/>
          <w:lang w:eastAsia="zh-CN"/>
        </w:rPr>
        <w:t>；</w:t>
      </w:r>
      <w:r>
        <w:rPr>
          <w:rFonts w:hint="eastAsia" w:ascii="楷体" w:hAnsi="楷体" w:eastAsia="楷体" w:cs="楷体"/>
          <w:b w:val="0"/>
          <w:bCs w:val="0"/>
          <w:color w:val="auto"/>
          <w:sz w:val="28"/>
          <w:szCs w:val="28"/>
          <w:lang w:val="en-US" w:eastAsia="zh-CN"/>
        </w:rPr>
        <w:t>③、</w:t>
      </w:r>
      <w:r>
        <w:rPr>
          <w:rFonts w:hint="eastAsia" w:ascii="楷体" w:hAnsi="楷体" w:eastAsia="楷体" w:cs="楷体"/>
          <w:color w:val="auto"/>
          <w:sz w:val="28"/>
          <w:szCs w:val="28"/>
          <w:highlight w:val="none"/>
          <w:shd w:val="clear" w:color="auto" w:fill="FFFFFF"/>
          <w:lang w:val="en-US" w:eastAsia="zh-CN"/>
        </w:rPr>
        <w:t>竞买人必须具备有石子加工的环评手续方可参加竞买。</w:t>
      </w:r>
    </w:p>
    <w:p w14:paraId="0D5D90A2">
      <w:pPr>
        <w:pStyle w:val="4"/>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shd w:val="clear" w:color="auto" w:fill="FFFFFF"/>
        </w:rPr>
        <w:t>（4）竞买人应在报名截止时间前完成注册，并按照相关要求进行报名；未在规定期限内完成报名手续的或未通过后台审核的竞买人不得参加竞买。</w:t>
      </w:r>
    </w:p>
    <w:p w14:paraId="12A67D35">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firstLine="420"/>
        <w:jc w:val="both"/>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shd w:val="clear" w:color="auto" w:fill="FFFFFF"/>
        </w:rPr>
        <w:t>（5）报名环节所需要的相关资料需以原件扫描件或照片的形式上传；竞买人须确保相关资料的清晰、完整、准确，否则导致的后果由竞买人自行承担。</w:t>
      </w:r>
    </w:p>
    <w:p w14:paraId="208EA57C">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第四条 竞买人在公告规定的看样时间内，有权进行实地查看，充分了解标的物的情况,参与标的竞拍人需认可标的物的现状和周边环境。</w:t>
      </w:r>
    </w:p>
    <w:p w14:paraId="56238256">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第五条 竞买人进入拍卖会现场参与拍卖,即表明竞买人已完全了解情况并自愿接受,竞买人应当为自己的拍卖行为负责。本公司根据标的物的实物现状进行拍卖,对本次拍卖的标的物不承担任何瑕疵担保责任；本公司提供的拍品目录、拍卖公告、介绍等相关资料仅供参考。</w:t>
      </w:r>
    </w:p>
    <w:p w14:paraId="15F22286">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第六条 竞买人为法人的，须提供法定代表人身份证明书及身份证原件；若竞买人委托代理人参加竞买的，代理人必须提供身份证原件及竞买人授权委托书，否则不得参加竞买。竞买人须凭以上相关材料才能领取号牌进入拍卖会场。号牌应本人使用,不得转借他人。如出现转借情况并由此拍卖成交的,视作竞买人对使用者的授权,由此产生的责任由登记的竞买人承担。</w:t>
      </w:r>
    </w:p>
    <w:p w14:paraId="7C90C236">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第七条 本次拍卖采用有底价增价拍卖方式,起拍价为标的拍卖底价。竞买人可以举牌应价或自行报价,竞买人的最高应价以拍卖师的三声报价落槌方式确认拍卖成交。竞买人竞价应在拍卖师落槌之前才有效。</w:t>
      </w:r>
    </w:p>
    <w:p w14:paraId="4A653A91">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第八条 拍卖师有权根据拍卖现场实际情况,调整加价幅度。有现场宣布拍卖中止和现场变更的权利，有宣布拍卖开始和结束的权利。拍卖时,拍卖人不再回答竞买人提出的有关标的物和拍卖程序的任何问题。</w:t>
      </w:r>
    </w:p>
    <w:p w14:paraId="152E21A5">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第九条 竞买人必须严格遵守拍卖会场的公共秩序，不得相互通告或商讨报价。</w:t>
      </w:r>
    </w:p>
    <w:p w14:paraId="26DA1123">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第十条 在拍卖会开始前，委托人有权撤回或暂停拍品的拍卖。如遇此情况，委托人、拍卖人不承担任何法律责任，竞买人所交保证金全额无息退还。</w:t>
      </w:r>
    </w:p>
    <w:p w14:paraId="636A0C2A">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第十一条 拍卖成交后,买受人必须当场签署《拍卖成交确认书》,同时需在《拍卖记录》上签字确认；《拍卖成交确认书》上的签名须与竞买登记表上的签名一致。竞买人成为买受人后，付款名称必须一致，不允许变更买受人名称。</w:t>
      </w:r>
    </w:p>
    <w:p w14:paraId="61091048">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第十二条 本项目无需缴纳交易服务费。</w:t>
      </w:r>
    </w:p>
    <w:p w14:paraId="63BFB9C6">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default" w:ascii="楷体" w:hAnsi="楷体" w:eastAsia="楷体" w:cs="楷体"/>
          <w:b w:val="0"/>
          <w:bCs w:val="0"/>
          <w:color w:val="auto"/>
          <w:sz w:val="28"/>
          <w:szCs w:val="28"/>
          <w:lang w:val="en-US" w:eastAsia="zh-CN"/>
        </w:rPr>
      </w:pPr>
      <w:bookmarkStart w:id="5" w:name="_Hlk154155731"/>
      <w:r>
        <w:rPr>
          <w:rFonts w:hint="eastAsia" w:ascii="楷体" w:hAnsi="楷体" w:eastAsia="楷体" w:cs="楷体"/>
          <w:b w:val="0"/>
          <w:bCs w:val="0"/>
          <w:color w:val="auto"/>
          <w:sz w:val="28"/>
          <w:szCs w:val="28"/>
          <w:lang w:val="en-US" w:eastAsia="zh-CN"/>
        </w:rPr>
        <w:t>第十三条 拍卖成交后，买受人须按拍卖成交价的4.2%交纳拍卖佣金</w:t>
      </w:r>
      <w:bookmarkEnd w:id="5"/>
      <w:r>
        <w:rPr>
          <w:rFonts w:hint="eastAsia" w:ascii="楷体" w:hAnsi="楷体" w:eastAsia="楷体" w:cs="楷体"/>
          <w:b w:val="0"/>
          <w:bCs w:val="0"/>
          <w:color w:val="auto"/>
          <w:sz w:val="28"/>
          <w:szCs w:val="28"/>
          <w:lang w:val="en-US" w:eastAsia="zh-CN"/>
        </w:rPr>
        <w:t>，自成交之日起5个工作日内交清拍卖成交价款及拍卖佣金。</w:t>
      </w:r>
    </w:p>
    <w:p w14:paraId="48B426C2">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根据拍卖法第三十九条规定，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买受人违约造成再次拍卖的费用和损失，拍卖公司保留对买受人的追偿权利。</w:t>
      </w:r>
    </w:p>
    <w:p w14:paraId="043CF3D4">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第十四条 拍卖成交后,拍卖人向买受人提供拍卖成交确认书和佣金票据,委托人向买受人提供成交额财政收据。</w:t>
      </w:r>
    </w:p>
    <w:p w14:paraId="1BCA00A4">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第十五条 拍卖成交后，买受人须在已交清全部款项后5个工作日内，按委托人要求签订《转让合同》。由委托人和买受人办理拍卖标的物的交付手续（拍品按现状交付，由买受人自行负责，本公司不承担拍品的已知和未知的瑕疵担保责任）。</w:t>
      </w:r>
    </w:p>
    <w:p w14:paraId="374767C7">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第十六条 当竞买人出现下列情形时，交易保证金不予退还：</w:t>
      </w:r>
    </w:p>
    <w:p w14:paraId="55097EEA">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（一）竞买人故意提供虚假、失实材料使委托人受损的；</w:t>
      </w:r>
    </w:p>
    <w:p w14:paraId="579695AA">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（二）竞买人通过获取委托人商业秘密或有恶意串通、操纵、垄断等影响公平竞争的行为，侵害委托人合法权益的；</w:t>
      </w:r>
    </w:p>
    <w:p w14:paraId="1EC35449">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（三）竞买人阻挠他人竞价，影响拍卖流程正常进行的；</w:t>
      </w:r>
    </w:p>
    <w:p w14:paraId="40BD0CE7">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（四）竞买人无故不推进交易或无故放弃受让的；</w:t>
      </w:r>
    </w:p>
    <w:p w14:paraId="2A4F31CC">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（五）竞买人违反交易合同或协议约定的；</w:t>
      </w:r>
    </w:p>
    <w:p w14:paraId="30769AB1">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（六）竞买人违反法律法规或相关规定给委托人造成损失的；</w:t>
      </w:r>
    </w:p>
    <w:p w14:paraId="63DB2AC7">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（七）信息披露公告中约定的交易保证金不予退还的其他情形。</w:t>
      </w:r>
    </w:p>
    <w:p w14:paraId="2E3511E6">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交易保证金金额不足以弥补损失的，委托人可以向有过错的竞买人进行追偿。</w:t>
      </w:r>
    </w:p>
    <w:p w14:paraId="07D37524">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第十七条 拍卖保证金处置：</w:t>
      </w:r>
    </w:p>
    <w:p w14:paraId="77703FA4">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一）买受人在规定时间内付清全部款项后，拍卖公司在收到拍卖成交款票据、拍卖佣金票据等凭证后5个工作日内上传相关凭证并发起保证金退还申请，交易中心在收到申请后5个工作日内，将保证金全额无息返还；</w:t>
      </w:r>
    </w:p>
    <w:p w14:paraId="30CD976D">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（二）竞买不成功的，拍卖公司在交易完成后5个工作日内发起保证金退还申请，交易中心在收到申请后5个工作日内，将保证金全额无息返还；</w:t>
      </w:r>
    </w:p>
    <w:p w14:paraId="00D60146">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（三）当竞买人出现第十六条第一款情形或买受人未按照约定支付价款的，交易中心将依据信息披露公告内容及相关约定，将不予退还的交易保证金交由委托人处置。</w:t>
      </w:r>
    </w:p>
    <w:p w14:paraId="48851756">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第十八条 本次拍品拍卖时的起拍价、成交价均不含拍卖人在竞得后所需支付的包括但不限于佣金、清运保证金、机械施工费、测绘费、堆场费等发生的一切相关费用和税费。</w:t>
      </w:r>
    </w:p>
    <w:p w14:paraId="72E139DB">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第十九条 本规则未明示的拍品不明瑕疵与委托人及拍卖人无关。</w:t>
      </w:r>
    </w:p>
    <w:p w14:paraId="27F59355">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第二十条 本规则未尽事宜，按《中华人民共和国拍卖法》及相关法律法规规定执行。</w:t>
      </w:r>
    </w:p>
    <w:p w14:paraId="48E9177E">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第二十一条 标的物瑕疵说明：竞买人在拍卖前须认真仔细了解标的物的实际情况，了解可能存在的实际土石料质量上的差异等各项风险，并自行承担风险参与竞买，同时买受人无瑕疵担保请求权，不得在竞买成功后，另行主张标的物的瑕疵权利。对移交的土石料，买受人必须无条件全部接收。竞买人须慎重决定竞买行为，并自愿承担责任。委托人和拍卖人对本次拍卖标的等级、质量、品质、市场价值、利用价值均不作保证，以及对拍卖标的所有瑕疵（包括但不限于现有未发现的瑕疵和将来出现的瑕疵）不承担任何瑕疵担保责任。</w:t>
      </w:r>
    </w:p>
    <w:p w14:paraId="6848F193">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二、专用条款：</w:t>
      </w:r>
    </w:p>
    <w:p w14:paraId="213B3118">
      <w:pPr>
        <w:spacing w:line="700" w:lineRule="exact"/>
        <w:jc w:val="center"/>
        <w:rPr>
          <w:rFonts w:hint="eastAsia" w:ascii="楷体" w:hAnsi="楷体" w:eastAsia="楷体" w:cs="楷体"/>
          <w:b w:val="0"/>
          <w:bCs/>
          <w:color w:val="auto"/>
          <w:sz w:val="28"/>
          <w:szCs w:val="28"/>
          <w:highlight w:val="none"/>
          <w:lang w:val="en-US" w:eastAsia="zh-CN"/>
        </w:rPr>
      </w:pPr>
      <w:r>
        <w:rPr>
          <w:rFonts w:hint="eastAsia" w:ascii="楷体" w:hAnsi="楷体" w:eastAsia="楷体" w:cs="楷体"/>
          <w:b w:val="0"/>
          <w:bCs w:val="0"/>
          <w:color w:val="auto"/>
          <w:sz w:val="28"/>
          <w:szCs w:val="28"/>
          <w:lang w:val="en-US" w:eastAsia="zh-CN"/>
        </w:rPr>
        <w:t xml:space="preserve">   1、本次拍卖标的为</w:t>
      </w:r>
      <w:r>
        <w:rPr>
          <w:rFonts w:hint="eastAsia" w:ascii="楷体" w:hAnsi="楷体" w:eastAsia="楷体" w:cs="楷体"/>
          <w:b w:val="0"/>
          <w:bCs/>
          <w:color w:val="auto"/>
          <w:sz w:val="28"/>
          <w:szCs w:val="28"/>
          <w:highlight w:val="none"/>
          <w:lang w:val="en-US" w:eastAsia="zh-CN"/>
        </w:rPr>
        <w:t>宜兴市</w:t>
      </w:r>
      <w:r>
        <w:rPr>
          <w:rFonts w:hint="eastAsia" w:ascii="楷体" w:hAnsi="楷体" w:eastAsia="楷体" w:cs="楷体"/>
          <w:b w:val="0"/>
          <w:bCs/>
          <w:color w:val="auto"/>
          <w:sz w:val="28"/>
          <w:szCs w:val="28"/>
          <w:highlight w:val="none"/>
        </w:rPr>
        <w:t>张渚镇</w:t>
      </w:r>
      <w:r>
        <w:rPr>
          <w:rFonts w:hint="eastAsia" w:ascii="楷体" w:hAnsi="楷体" w:eastAsia="楷体" w:cs="楷体"/>
          <w:b w:val="0"/>
          <w:bCs/>
          <w:color w:val="auto"/>
          <w:sz w:val="28"/>
          <w:szCs w:val="28"/>
          <w:highlight w:val="none"/>
          <w:lang w:val="en-US" w:eastAsia="zh-CN"/>
        </w:rPr>
        <w:t>东龙村老虎山宕口遗留余弃废宕渣、东龙村南天门土地复垦整改余弃土石料、南山建材东地块没收土</w:t>
      </w:r>
    </w:p>
    <w:p w14:paraId="073EA0BA">
      <w:pPr>
        <w:keepNext w:val="0"/>
        <w:keepLines w:val="0"/>
        <w:pageBreakBefore w:val="0"/>
        <w:widowControl w:val="0"/>
        <w:kinsoku/>
        <w:wordWrap/>
        <w:overflowPunct/>
        <w:topLinePunct w:val="0"/>
        <w:autoSpaceDE/>
        <w:autoSpaceDN/>
        <w:bidi w:val="0"/>
        <w:spacing w:beforeAutospacing="0" w:afterAutospacing="0" w:line="360" w:lineRule="auto"/>
        <w:textAlignment w:val="auto"/>
        <w:rPr>
          <w:rFonts w:hint="eastAsia" w:ascii="楷体" w:hAnsi="楷体" w:eastAsia="楷体" w:cs="楷体"/>
          <w:b w:val="0"/>
          <w:bCs w:val="0"/>
          <w:color w:val="auto"/>
          <w:sz w:val="28"/>
          <w:szCs w:val="28"/>
          <w:lang w:val="zh-CN" w:eastAsia="zh-CN"/>
        </w:rPr>
      </w:pPr>
      <w:r>
        <w:rPr>
          <w:rFonts w:hint="eastAsia" w:ascii="楷体" w:hAnsi="楷体" w:eastAsia="楷体" w:cs="楷体"/>
          <w:b w:val="0"/>
          <w:bCs w:val="0"/>
          <w:color w:val="auto"/>
          <w:sz w:val="28"/>
          <w:szCs w:val="28"/>
          <w:lang w:val="en-US" w:eastAsia="zh-CN"/>
        </w:rPr>
        <w:t>石料，重量为预估值，起拍价1391620元，拍卖成交后以现场过磅数量按实结算，多退少补，地磅由委托方指定。</w:t>
      </w:r>
    </w:p>
    <w:p w14:paraId="32F4840A">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zh-CN" w:eastAsia="zh-CN"/>
        </w:rPr>
      </w:pPr>
      <w:r>
        <w:rPr>
          <w:rFonts w:hint="eastAsia" w:ascii="楷体" w:hAnsi="楷体" w:eastAsia="楷体" w:cs="楷体"/>
          <w:b w:val="0"/>
          <w:bCs w:val="0"/>
          <w:color w:val="auto"/>
          <w:sz w:val="28"/>
          <w:szCs w:val="28"/>
          <w:lang w:val="en-US" w:eastAsia="zh-CN"/>
        </w:rPr>
        <w:t>2、本次拍卖</w:t>
      </w:r>
      <w:r>
        <w:rPr>
          <w:rFonts w:hint="eastAsia" w:ascii="楷体" w:hAnsi="楷体" w:eastAsia="楷体" w:cs="楷体"/>
          <w:b w:val="0"/>
          <w:bCs w:val="0"/>
          <w:color w:val="auto"/>
          <w:sz w:val="28"/>
          <w:szCs w:val="28"/>
          <w:lang w:val="zh-CN" w:eastAsia="zh-CN"/>
        </w:rPr>
        <w:t>的</w:t>
      </w:r>
      <w:r>
        <w:rPr>
          <w:rFonts w:hint="eastAsia" w:ascii="楷体" w:hAnsi="楷体" w:eastAsia="楷体" w:cs="楷体"/>
          <w:b w:val="0"/>
          <w:bCs w:val="0"/>
          <w:color w:val="auto"/>
          <w:sz w:val="28"/>
          <w:szCs w:val="28"/>
          <w:lang w:val="en-US" w:eastAsia="zh-CN"/>
        </w:rPr>
        <w:t>成交价均为不含税，不含竞买人一旦竞得后所需支付的</w:t>
      </w:r>
      <w:r>
        <w:rPr>
          <w:rFonts w:hint="eastAsia" w:ascii="楷体" w:hAnsi="楷体" w:eastAsia="楷体" w:cs="楷体"/>
          <w:b w:val="0"/>
          <w:bCs w:val="0"/>
          <w:color w:val="auto"/>
          <w:sz w:val="28"/>
          <w:szCs w:val="28"/>
          <w:lang w:val="zh-CN" w:eastAsia="zh-CN"/>
        </w:rPr>
        <w:t>佣金、装卸、运输、保管、交接、</w:t>
      </w:r>
      <w:r>
        <w:rPr>
          <w:rFonts w:hint="eastAsia" w:ascii="楷体" w:hAnsi="楷体" w:eastAsia="楷体" w:cs="楷体"/>
          <w:b w:val="0"/>
          <w:bCs w:val="0"/>
          <w:color w:val="auto"/>
          <w:sz w:val="28"/>
          <w:szCs w:val="28"/>
          <w:lang w:val="en-US" w:eastAsia="zh-CN"/>
        </w:rPr>
        <w:t>测绘费、机械施工费、堆场费</w:t>
      </w:r>
      <w:r>
        <w:rPr>
          <w:rFonts w:hint="eastAsia" w:ascii="楷体" w:hAnsi="楷体" w:eastAsia="楷体" w:cs="楷体"/>
          <w:b w:val="0"/>
          <w:bCs w:val="0"/>
          <w:color w:val="auto"/>
          <w:sz w:val="28"/>
          <w:szCs w:val="28"/>
          <w:lang w:val="zh-CN" w:eastAsia="zh-CN"/>
        </w:rPr>
        <w:t>等发生的一切相关费用。</w:t>
      </w:r>
    </w:p>
    <w:p w14:paraId="261ABF19">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3、拍卖成交后，买受人还需另外支付宜兴市张渚镇东龙村老虎山宕口堆场费8万元，张渚镇东龙村南天门土地复垦整改土石料机械费55万元，张渚镇南山建材东地块没收土石料运输费2.2万元，3块地块测绘费共计25640元。</w:t>
      </w:r>
    </w:p>
    <w:p w14:paraId="275BD8E4">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4、买受人必须在5个工作日内付清拍卖成交价款、拍卖佣金、清运保证金（清运保证金按照成交价款的10%收取）及运输管理保证金40万（其中：清洁化管理保证金10万元、道路修复保证金30万元）、拍卖佣金到指定账户（详见成交确认书及缴款流程）。清运保证金及运输管理保证金在清运完成后按实际清运考核情况无息退还。</w:t>
      </w:r>
    </w:p>
    <w:p w14:paraId="2EC5D42C">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5、买受人在付清所有价款后5个工作日内自行办理取得属地政府的运输通行证。买受人应根据施工进度及时清运，不得影响工程施工进度，土石料随工程进度逐步提供，买受人不得以装运时间延迟或装运期限长退款、减少成交款，不得提出其他赔偿或补偿事项。</w:t>
      </w:r>
    </w:p>
    <w:p w14:paraId="3D0E5568">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6、买受人须自行组织运输工具，制定详细的实施方案、运输计划及安全保障措施，报镇相关职能部门审核通过后组织实施。在拍卖标的物处置清运过程中，自行协调好运输道路沿线村民的相关事宜，尽量避免周围环境和正常秩序的影响，自觉接受运输通道沿途属地管理。为保证清洁化运输，承诺车辆采用新型轨道平移式篷布，运输车辆载重量不能超过道路承载负荷，买受人须按照当地管理要求做好道路维护和保洁，不破坏运输线路沿线环境和路面。严格遵守装载取料的范围，不超越范围取料，文明清运，不影响周边的正常工作秩序。</w:t>
      </w:r>
    </w:p>
    <w:p w14:paraId="10BCFD8F">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7、清运涉及到道路运输的，由买受人自行与属地政府协商解决并承担相关费用。清运中发生道路或设施损坏的，由此导致的损失由买受人承担，买受人拒绝赔偿的，委托人有权垫付相关费用并从道路运输保证金中扣除，保证金不足以抵扣的，委托人有权向买受人追偿。</w:t>
      </w:r>
    </w:p>
    <w:p w14:paraId="2C46CF9D">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8、买受人自进场清运开始之日起30天内完所有拍卖标的物。逾期按 10000元/天支付滞运堆场费给委托方，该费用在清运保证金中扣除，直至扣完，剩余拍卖标的物视为自动放弃，并按违约处理。买受人遇政府要求及不可抗力因素停运的，按实际停运天数顺延清运期限。</w:t>
      </w:r>
    </w:p>
    <w:p w14:paraId="1290516A">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9、</w:t>
      </w:r>
      <w:r>
        <w:rPr>
          <w:rFonts w:hint="eastAsia" w:ascii="楷体" w:hAnsi="楷体" w:eastAsia="楷体" w:cs="楷体"/>
          <w:b w:val="0"/>
          <w:bCs w:val="0"/>
          <w:color w:val="auto"/>
          <w:sz w:val="28"/>
          <w:szCs w:val="28"/>
          <w:lang w:val="zh-CN" w:eastAsia="zh-CN"/>
        </w:rPr>
        <w:t>买受人应自行解决该拍品的装载、运输、保管等各项工作</w:t>
      </w:r>
      <w:r>
        <w:rPr>
          <w:rFonts w:hint="eastAsia" w:ascii="楷体" w:hAnsi="楷体" w:eastAsia="楷体" w:cs="楷体"/>
          <w:b w:val="0"/>
          <w:bCs w:val="0"/>
          <w:color w:val="auto"/>
          <w:sz w:val="28"/>
          <w:szCs w:val="28"/>
          <w:lang w:val="en-US" w:eastAsia="zh-CN"/>
        </w:rPr>
        <w:t>，</w:t>
      </w:r>
      <w:bookmarkStart w:id="6" w:name="_GoBack"/>
      <w:bookmarkEnd w:id="6"/>
      <w:r>
        <w:rPr>
          <w:rFonts w:hint="eastAsia" w:ascii="楷体" w:hAnsi="楷体" w:eastAsia="楷体" w:cs="楷体"/>
          <w:b w:val="0"/>
          <w:bCs w:val="0"/>
          <w:color w:val="auto"/>
          <w:sz w:val="28"/>
          <w:szCs w:val="28"/>
          <w:lang w:val="en-US" w:eastAsia="zh-CN"/>
        </w:rPr>
        <w:t>并承担包含但不限于上述过程中的所有安全责任问题。</w:t>
      </w:r>
    </w:p>
    <w:p w14:paraId="2DE8BF7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2" w:firstLineChars="200"/>
        <w:jc w:val="both"/>
        <w:textAlignment w:val="auto"/>
        <w:outlineLvl w:val="9"/>
        <w:rPr>
          <w:rFonts w:hint="eastAsia" w:ascii="楷体" w:hAnsi="楷体" w:eastAsia="楷体" w:cs="楷体"/>
          <w:b/>
          <w:bCs/>
          <w:color w:val="auto"/>
          <w:spacing w:val="20"/>
          <w:kern w:val="2"/>
          <w:sz w:val="28"/>
          <w:szCs w:val="28"/>
          <w:lang w:val="en-US" w:eastAsia="zh-CN" w:bidi="ar-SA"/>
        </w:rPr>
      </w:pPr>
    </w:p>
    <w:p w14:paraId="612DD65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2" w:firstLineChars="200"/>
        <w:jc w:val="both"/>
        <w:textAlignment w:val="auto"/>
        <w:outlineLvl w:val="9"/>
        <w:rPr>
          <w:rFonts w:hint="eastAsia" w:ascii="楷体" w:hAnsi="楷体" w:eastAsia="楷体" w:cs="楷体"/>
          <w:b/>
          <w:bCs/>
          <w:color w:val="auto"/>
          <w:sz w:val="28"/>
          <w:szCs w:val="28"/>
          <w:lang w:val="en-US" w:eastAsia="zh-CN"/>
        </w:rPr>
      </w:pPr>
      <w:r>
        <w:rPr>
          <w:rFonts w:hint="eastAsia" w:ascii="楷体" w:hAnsi="楷体" w:eastAsia="楷体" w:cs="楷体"/>
          <w:b/>
          <w:bCs/>
          <w:color w:val="auto"/>
          <w:spacing w:val="20"/>
          <w:kern w:val="2"/>
          <w:sz w:val="28"/>
          <w:szCs w:val="28"/>
          <w:lang w:val="en-US" w:eastAsia="zh-CN" w:bidi="ar-SA"/>
        </w:rPr>
        <w:t>竞买人对以上内容应仔细阅读，在确认已充分知晓并理解各条款之确切含义及相应法律责任后签字确认：</w:t>
      </w:r>
    </w:p>
    <w:p w14:paraId="360AEB78">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both"/>
        <w:textAlignment w:val="auto"/>
        <w:rPr>
          <w:rFonts w:hint="eastAsia" w:ascii="楷体" w:hAnsi="楷体" w:eastAsia="楷体" w:cs="楷体"/>
          <w:b/>
          <w:bCs/>
          <w:color w:val="auto"/>
          <w:sz w:val="28"/>
          <w:szCs w:val="28"/>
          <w:lang w:val="en-US" w:eastAsia="zh-CN"/>
        </w:rPr>
      </w:pPr>
    </w:p>
    <w:p w14:paraId="403212B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right"/>
        <w:textAlignment w:val="auto"/>
        <w:rPr>
          <w:rFonts w:hint="eastAsia" w:ascii="楷体" w:hAnsi="楷体" w:eastAsia="楷体" w:cs="楷体"/>
          <w:b/>
          <w:bCs/>
          <w:color w:val="auto"/>
          <w:sz w:val="28"/>
          <w:szCs w:val="28"/>
          <w:lang w:val="en-US" w:eastAsia="zh-CN"/>
        </w:rPr>
      </w:pPr>
    </w:p>
    <w:p w14:paraId="5DB7711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341" w:firstLineChars="1900"/>
        <w:jc w:val="both"/>
        <w:textAlignment w:val="auto"/>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 xml:space="preserve">江苏卓越拍卖有限公司  </w:t>
      </w:r>
    </w:p>
    <w:p w14:paraId="44E593CE">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 xml:space="preserve">                                     2026年6月8日</w:t>
      </w:r>
    </w:p>
    <w:p w14:paraId="0E08EF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b w:val="0"/>
          <w:bCs w:val="0"/>
          <w:color w:val="auto"/>
          <w:sz w:val="28"/>
          <w:szCs w:val="28"/>
        </w:rPr>
      </w:pPr>
      <w:r>
        <w:rPr>
          <w:rFonts w:hint="eastAsia" w:ascii="宋体" w:hAnsi="宋体" w:eastAsia="宋体" w:cs="宋体"/>
          <w:b w:val="0"/>
          <w:bCs w:val="0"/>
          <w:color w:val="auto"/>
          <w:sz w:val="28"/>
          <w:szCs w:val="28"/>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81A4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0FC6D">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40FC6D">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NTFiOTcwNzNkMmZjZjZjNTY2ZDE4YzA5NDhjZTgifQ=="/>
  </w:docVars>
  <w:rsids>
    <w:rsidRoot w:val="00000000"/>
    <w:rsid w:val="01714984"/>
    <w:rsid w:val="0333345C"/>
    <w:rsid w:val="041E5B9A"/>
    <w:rsid w:val="046D3835"/>
    <w:rsid w:val="04F03C97"/>
    <w:rsid w:val="051B5F74"/>
    <w:rsid w:val="053C6EDC"/>
    <w:rsid w:val="0790229A"/>
    <w:rsid w:val="0C7B154B"/>
    <w:rsid w:val="0CDE4E63"/>
    <w:rsid w:val="0D2F0621"/>
    <w:rsid w:val="0D313465"/>
    <w:rsid w:val="0DE467DA"/>
    <w:rsid w:val="0DF35F54"/>
    <w:rsid w:val="0DFA0BAD"/>
    <w:rsid w:val="0ED70EAF"/>
    <w:rsid w:val="0F3420BD"/>
    <w:rsid w:val="0F601330"/>
    <w:rsid w:val="0FA364D6"/>
    <w:rsid w:val="0FB83EBF"/>
    <w:rsid w:val="11E356CA"/>
    <w:rsid w:val="123D33E1"/>
    <w:rsid w:val="12857438"/>
    <w:rsid w:val="12A10CC7"/>
    <w:rsid w:val="12A73CD5"/>
    <w:rsid w:val="12C677C4"/>
    <w:rsid w:val="14060C07"/>
    <w:rsid w:val="15845660"/>
    <w:rsid w:val="16133C89"/>
    <w:rsid w:val="162B121D"/>
    <w:rsid w:val="17DC5CA4"/>
    <w:rsid w:val="1819758E"/>
    <w:rsid w:val="18B067CF"/>
    <w:rsid w:val="192306DD"/>
    <w:rsid w:val="194523AC"/>
    <w:rsid w:val="19C53B5F"/>
    <w:rsid w:val="1A96457F"/>
    <w:rsid w:val="1A9B6AF2"/>
    <w:rsid w:val="1AF720E8"/>
    <w:rsid w:val="1C040E10"/>
    <w:rsid w:val="1CCB45C2"/>
    <w:rsid w:val="1D8B4278"/>
    <w:rsid w:val="20FA3A7C"/>
    <w:rsid w:val="21E655CF"/>
    <w:rsid w:val="22773079"/>
    <w:rsid w:val="24B85237"/>
    <w:rsid w:val="25537BFE"/>
    <w:rsid w:val="26433228"/>
    <w:rsid w:val="26C86EC0"/>
    <w:rsid w:val="278C7703"/>
    <w:rsid w:val="27CE164B"/>
    <w:rsid w:val="29AE5C47"/>
    <w:rsid w:val="2A3C5105"/>
    <w:rsid w:val="2BD761B3"/>
    <w:rsid w:val="2CCB6C14"/>
    <w:rsid w:val="2D6C3F53"/>
    <w:rsid w:val="2D7A6C3C"/>
    <w:rsid w:val="2DBC2AE5"/>
    <w:rsid w:val="2E70537D"/>
    <w:rsid w:val="2EA62624"/>
    <w:rsid w:val="2ED710DE"/>
    <w:rsid w:val="2F0E4B96"/>
    <w:rsid w:val="2F492340"/>
    <w:rsid w:val="2F572569"/>
    <w:rsid w:val="30185149"/>
    <w:rsid w:val="32695335"/>
    <w:rsid w:val="32D74B82"/>
    <w:rsid w:val="331619F9"/>
    <w:rsid w:val="33323549"/>
    <w:rsid w:val="33673ECA"/>
    <w:rsid w:val="337C1B98"/>
    <w:rsid w:val="3410342A"/>
    <w:rsid w:val="34922213"/>
    <w:rsid w:val="35970DAD"/>
    <w:rsid w:val="36060808"/>
    <w:rsid w:val="36B351C5"/>
    <w:rsid w:val="3737565D"/>
    <w:rsid w:val="3796386B"/>
    <w:rsid w:val="38241206"/>
    <w:rsid w:val="384032E9"/>
    <w:rsid w:val="38C16D35"/>
    <w:rsid w:val="38CE7B71"/>
    <w:rsid w:val="3C097069"/>
    <w:rsid w:val="3E4A0A6C"/>
    <w:rsid w:val="3EFF21D9"/>
    <w:rsid w:val="401A339B"/>
    <w:rsid w:val="42C827B2"/>
    <w:rsid w:val="431C2BB3"/>
    <w:rsid w:val="43BD25D6"/>
    <w:rsid w:val="46E03DF8"/>
    <w:rsid w:val="471D1529"/>
    <w:rsid w:val="48D80297"/>
    <w:rsid w:val="49A84D9A"/>
    <w:rsid w:val="49DA7107"/>
    <w:rsid w:val="49FD0420"/>
    <w:rsid w:val="4AF54AD5"/>
    <w:rsid w:val="4BD96800"/>
    <w:rsid w:val="4CBD1C7E"/>
    <w:rsid w:val="4E140BEB"/>
    <w:rsid w:val="4E571FEC"/>
    <w:rsid w:val="4E706752"/>
    <w:rsid w:val="4FDA0317"/>
    <w:rsid w:val="51DA0BDC"/>
    <w:rsid w:val="526037D7"/>
    <w:rsid w:val="52BB2293"/>
    <w:rsid w:val="5380453A"/>
    <w:rsid w:val="53C62A94"/>
    <w:rsid w:val="53C94501"/>
    <w:rsid w:val="54242314"/>
    <w:rsid w:val="5437167A"/>
    <w:rsid w:val="54A3212E"/>
    <w:rsid w:val="54FB0DC4"/>
    <w:rsid w:val="55444E5C"/>
    <w:rsid w:val="55620546"/>
    <w:rsid w:val="55A10B06"/>
    <w:rsid w:val="55E51921"/>
    <w:rsid w:val="55E71B19"/>
    <w:rsid w:val="56564F85"/>
    <w:rsid w:val="56777341"/>
    <w:rsid w:val="57160203"/>
    <w:rsid w:val="58C26EDC"/>
    <w:rsid w:val="58F44C79"/>
    <w:rsid w:val="59205A6E"/>
    <w:rsid w:val="595B6AA6"/>
    <w:rsid w:val="5AD11944"/>
    <w:rsid w:val="5AEF38A5"/>
    <w:rsid w:val="5B0D4D97"/>
    <w:rsid w:val="5C574234"/>
    <w:rsid w:val="5DDF1B4C"/>
    <w:rsid w:val="5E120028"/>
    <w:rsid w:val="5EF34FFB"/>
    <w:rsid w:val="5F68478A"/>
    <w:rsid w:val="5F9452EC"/>
    <w:rsid w:val="60DB227B"/>
    <w:rsid w:val="614B11AE"/>
    <w:rsid w:val="61F02A74"/>
    <w:rsid w:val="628E2517"/>
    <w:rsid w:val="645767BB"/>
    <w:rsid w:val="64602371"/>
    <w:rsid w:val="65851726"/>
    <w:rsid w:val="660E4EA0"/>
    <w:rsid w:val="66FB6FF1"/>
    <w:rsid w:val="68532F7A"/>
    <w:rsid w:val="695D4175"/>
    <w:rsid w:val="697D4AC2"/>
    <w:rsid w:val="6A104B04"/>
    <w:rsid w:val="6A446655"/>
    <w:rsid w:val="6A9A4F55"/>
    <w:rsid w:val="6B28503A"/>
    <w:rsid w:val="6BCC55E2"/>
    <w:rsid w:val="6D0473F4"/>
    <w:rsid w:val="6EC356CD"/>
    <w:rsid w:val="6F482643"/>
    <w:rsid w:val="6F871F4B"/>
    <w:rsid w:val="712E6A18"/>
    <w:rsid w:val="71E10C09"/>
    <w:rsid w:val="723346C5"/>
    <w:rsid w:val="72C31F7E"/>
    <w:rsid w:val="733F0223"/>
    <w:rsid w:val="738D2B36"/>
    <w:rsid w:val="744F0B5E"/>
    <w:rsid w:val="74D147AA"/>
    <w:rsid w:val="76514AC5"/>
    <w:rsid w:val="76781F92"/>
    <w:rsid w:val="77533873"/>
    <w:rsid w:val="77610F13"/>
    <w:rsid w:val="783C10AC"/>
    <w:rsid w:val="78564859"/>
    <w:rsid w:val="78F97A5A"/>
    <w:rsid w:val="790A5082"/>
    <w:rsid w:val="79627149"/>
    <w:rsid w:val="7A0D1DA1"/>
    <w:rsid w:val="7A3B2ACB"/>
    <w:rsid w:val="7A950625"/>
    <w:rsid w:val="7B851FEE"/>
    <w:rsid w:val="7C2D3E7B"/>
    <w:rsid w:val="7CE57515"/>
    <w:rsid w:val="7DF117DE"/>
    <w:rsid w:val="7E635EBE"/>
    <w:rsid w:val="7FFF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semiHidden/>
    <w:unhideWhenUsed/>
    <w:qFormat/>
    <w:uiPriority w:val="99"/>
    <w:pPr>
      <w:tabs>
        <w:tab w:val="center" w:pos="4153"/>
        <w:tab w:val="right" w:pos="8306"/>
      </w:tabs>
      <w:snapToGrid w:val="0"/>
      <w:jc w:val="left"/>
    </w:pPr>
    <w:rPr>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出段落1"/>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4469</Words>
  <Characters>4574</Characters>
  <Lines>0</Lines>
  <Paragraphs>0</Paragraphs>
  <TotalTime>32</TotalTime>
  <ScaleCrop>false</ScaleCrop>
  <LinksUpToDate>false</LinksUpToDate>
  <CharactersWithSpaces>4663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2022-12-23T01:29:00Z</dcterms:created>
  <dc:creator>Administrator</dc:creator>
  <cp:lastModifiedBy>瓜皮喵</cp:lastModifiedBy>
  <cp:lastPrinted>2026-04-21T06:00:00Z</cp:lastPrinted>
  <dcterms:modified xsi:type="dcterms:W3CDTF">2026-06-05T01:19:23Z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AB35AB6FFD6A41CE94B9CCE590CB5DA9_13</vt:lpwstr>
  </property>
  <property fmtid="{D5CDD505-2E9C-101B-9397-08002B2CF9AE}" pid="4" name="KSOTemplateDocerSaveRecord">
    <vt:lpwstr>eyJoZGlkIjoiZDcxZTZmZmM3YWRhMjEyZTJmODI3MGVlMWZhMGNkMWIiLCJ1c2VySWQiOiIxMzc3NzYxOTgyIn0=</vt:lpwstr>
  </property>
</Properties>
</file>