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6DE6">
      <w:pPr>
        <w:spacing w:line="700" w:lineRule="exact"/>
        <w:jc w:val="center"/>
        <w:rPr>
          <w:rFonts w:ascii="方正小标宋_GBK" w:hAnsi="宋体" w:eastAsia="方正小标宋_GBK" w:cs="宋体"/>
          <w:b/>
          <w:bCs/>
          <w:sz w:val="44"/>
          <w:szCs w:val="44"/>
        </w:rPr>
      </w:pPr>
      <w:r>
        <w:rPr>
          <w:rFonts w:hint="eastAsia" w:ascii="宋体" w:hAnsi="宋体"/>
          <w:b w:val="0"/>
          <w:bCs/>
          <w:sz w:val="44"/>
          <w:szCs w:val="44"/>
          <w:lang w:val="en-US" w:eastAsia="zh-CN"/>
        </w:rPr>
        <w:t>宜兴市司法局B楼一、二层办公用房</w:t>
      </w:r>
      <w:r>
        <w:rPr>
          <w:rFonts w:hint="eastAsia" w:ascii="宋体" w:hAnsi="宋体"/>
          <w:b w:val="0"/>
          <w:bCs/>
          <w:sz w:val="44"/>
          <w:szCs w:val="44"/>
        </w:rPr>
        <w:t>租赁权</w:t>
      </w:r>
    </w:p>
    <w:p w14:paraId="497A823E">
      <w:pPr>
        <w:spacing w:line="700" w:lineRule="exact"/>
        <w:jc w:val="center"/>
        <w:rPr>
          <w:rFonts w:ascii="宋体" w:hAnsi="宋体" w:eastAsia="宋体" w:cs="宋体"/>
          <w:b w:val="0"/>
          <w:bCs w:val="0"/>
          <w:sz w:val="44"/>
          <w:szCs w:val="44"/>
        </w:rPr>
      </w:pPr>
      <w:r>
        <w:rPr>
          <w:rFonts w:hint="eastAsia" w:ascii="宋体" w:hAnsi="宋体" w:eastAsia="宋体" w:cs="宋体"/>
          <w:b w:val="0"/>
          <w:bCs w:val="0"/>
          <w:sz w:val="44"/>
          <w:szCs w:val="44"/>
        </w:rPr>
        <w:t>拍卖须知</w:t>
      </w:r>
    </w:p>
    <w:p w14:paraId="1195B7D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751A8F7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第一条 拍卖标的</w:t>
      </w:r>
    </w:p>
    <w:tbl>
      <w:tblPr>
        <w:tblStyle w:val="4"/>
        <w:tblpPr w:leftFromText="180" w:rightFromText="180" w:vertAnchor="text" w:horzAnchor="page" w:tblpX="1219" w:tblpY="393"/>
        <w:tblOverlap w:val="never"/>
        <w:tblW w:w="9657"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183"/>
        <w:gridCol w:w="1654"/>
        <w:gridCol w:w="1276"/>
        <w:gridCol w:w="1276"/>
        <w:gridCol w:w="1134"/>
        <w:gridCol w:w="1134"/>
      </w:tblGrid>
      <w:tr w14:paraId="59A269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34" w:hRule="atLeast"/>
        </w:trPr>
        <w:tc>
          <w:tcPr>
            <w:tcW w:w="3183" w:type="dxa"/>
            <w:tcBorders>
              <w:tl2br w:val="nil"/>
              <w:tr2bl w:val="nil"/>
            </w:tcBorders>
            <w:vAlign w:val="center"/>
          </w:tcPr>
          <w:p w14:paraId="3344EB57">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标的编号</w:t>
            </w:r>
          </w:p>
        </w:tc>
        <w:tc>
          <w:tcPr>
            <w:tcW w:w="1654" w:type="dxa"/>
            <w:tcBorders>
              <w:tl2br w:val="nil"/>
              <w:tr2bl w:val="nil"/>
            </w:tcBorders>
            <w:vAlign w:val="center"/>
          </w:tcPr>
          <w:p w14:paraId="0F6B331E">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lang w:bidi="ar"/>
                <w14:textFill>
                  <w14:solidFill>
                    <w14:schemeClr w14:val="tx1"/>
                  </w14:solidFill>
                </w14:textFill>
              </w:rPr>
              <w:t>标的名称</w:t>
            </w:r>
          </w:p>
        </w:tc>
        <w:tc>
          <w:tcPr>
            <w:tcW w:w="1276" w:type="dxa"/>
            <w:tcBorders>
              <w:tl2br w:val="nil"/>
              <w:tr2bl w:val="nil"/>
            </w:tcBorders>
            <w:vAlign w:val="center"/>
          </w:tcPr>
          <w:p w14:paraId="236BAEDF">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建筑面积（㎡）</w:t>
            </w:r>
          </w:p>
        </w:tc>
        <w:tc>
          <w:tcPr>
            <w:tcW w:w="1276" w:type="dxa"/>
            <w:tcBorders>
              <w:tl2br w:val="nil"/>
              <w:tr2bl w:val="nil"/>
            </w:tcBorders>
            <w:vAlign w:val="center"/>
          </w:tcPr>
          <w:p w14:paraId="79494376">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出租年限（年）</w:t>
            </w:r>
          </w:p>
        </w:tc>
        <w:tc>
          <w:tcPr>
            <w:tcW w:w="1134" w:type="dxa"/>
            <w:tcBorders>
              <w:tl2br w:val="nil"/>
              <w:tr2bl w:val="nil"/>
            </w:tcBorders>
            <w:vAlign w:val="center"/>
          </w:tcPr>
          <w:p w14:paraId="04739B91">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起拍价</w:t>
            </w:r>
          </w:p>
          <w:p w14:paraId="4BA8098A">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w:t>
            </w: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万</w:t>
            </w: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元/年）</w:t>
            </w:r>
          </w:p>
        </w:tc>
        <w:tc>
          <w:tcPr>
            <w:tcW w:w="1134" w:type="dxa"/>
            <w:tcBorders>
              <w:tl2br w:val="nil"/>
              <w:tr2bl w:val="nil"/>
            </w:tcBorders>
            <w:vAlign w:val="center"/>
          </w:tcPr>
          <w:p w14:paraId="339BBEB9">
            <w:pPr>
              <w:adjustRightInd w:val="0"/>
              <w:snapToGrid w:val="0"/>
              <w:jc w:val="center"/>
              <w:rPr>
                <w:rFonts w:hint="eastAsia" w:ascii="宋体" w:hAnsi="宋体" w:eastAsia="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备注（限定用途等）</w:t>
            </w:r>
          </w:p>
        </w:tc>
      </w:tr>
      <w:tr w14:paraId="502253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89" w:hRule="atLeast"/>
        </w:trPr>
        <w:tc>
          <w:tcPr>
            <w:tcW w:w="3183" w:type="dxa"/>
            <w:tcBorders>
              <w:tl2br w:val="nil"/>
              <w:tr2bl w:val="nil"/>
            </w:tcBorders>
            <w:vAlign w:val="center"/>
          </w:tcPr>
          <w:p w14:paraId="28431C6F">
            <w:pPr>
              <w:adjustRightInd w:val="0"/>
              <w:snapToGrid w:val="0"/>
              <w:jc w:val="cente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pPr>
            <w:r>
              <w:rPr>
                <w:rFonts w:hint="eastAsia" w:ascii="宋体" w:hAnsi="宋体" w:eastAsia="宋体" w:cs="宋体"/>
                <w:b w:val="0"/>
                <w:bCs/>
                <w:color w:val="000000" w:themeColor="text1"/>
                <w:kern w:val="0"/>
                <w:sz w:val="21"/>
                <w:szCs w:val="21"/>
                <w:shd w:val="clear" w:color="auto" w:fill="FFFFFF"/>
                <w14:textFill>
                  <w14:solidFill>
                    <w14:schemeClr w14:val="tx1"/>
                  </w14:solidFill>
                </w14:textFill>
              </w:rPr>
              <w:t>YXZL</w:t>
            </w:r>
          </w:p>
        </w:tc>
        <w:tc>
          <w:tcPr>
            <w:tcW w:w="1654" w:type="dxa"/>
            <w:tcBorders>
              <w:tl2br w:val="nil"/>
              <w:tr2bl w:val="nil"/>
            </w:tcBorders>
            <w:vAlign w:val="center"/>
          </w:tcPr>
          <w:p w14:paraId="147F40C1">
            <w:pPr>
              <w:adjustRightInd w:val="0"/>
              <w:snapToGrid w:val="0"/>
              <w:jc w:val="center"/>
              <w:rPr>
                <w:rFonts w:hint="default" w:ascii="宋体" w:hAnsi="宋体" w:eastAsia="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宜兴市司法局B楼一、二层办公用房租赁权</w:t>
            </w:r>
          </w:p>
        </w:tc>
        <w:tc>
          <w:tcPr>
            <w:tcW w:w="1276" w:type="dxa"/>
            <w:tcBorders>
              <w:tl2br w:val="nil"/>
              <w:tr2bl w:val="nil"/>
            </w:tcBorders>
            <w:vAlign w:val="center"/>
          </w:tcPr>
          <w:p w14:paraId="4AB66781">
            <w:pPr>
              <w:adjustRightInd w:val="0"/>
              <w:snapToGrid w:val="0"/>
              <w:jc w:val="center"/>
              <w:rPr>
                <w:rFonts w:hint="default" w:ascii="宋体" w:hAnsi="宋体" w:eastAsia="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237.536</w:t>
            </w:r>
          </w:p>
        </w:tc>
        <w:tc>
          <w:tcPr>
            <w:tcW w:w="1276" w:type="dxa"/>
            <w:tcBorders>
              <w:tl2br w:val="nil"/>
              <w:tr2bl w:val="nil"/>
            </w:tcBorders>
            <w:vAlign w:val="center"/>
          </w:tcPr>
          <w:p w14:paraId="317FDB40">
            <w:pPr>
              <w:adjustRightInd w:val="0"/>
              <w:snapToGrid w:val="0"/>
              <w:jc w:val="center"/>
              <w:rPr>
                <w:rFonts w:hint="default" w:ascii="宋体" w:hAnsi="宋体" w:eastAsia="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5</w:t>
            </w:r>
          </w:p>
        </w:tc>
        <w:tc>
          <w:tcPr>
            <w:tcW w:w="1134" w:type="dxa"/>
            <w:tcBorders>
              <w:tl2br w:val="nil"/>
              <w:tr2bl w:val="nil"/>
            </w:tcBorders>
            <w:vAlign w:val="center"/>
          </w:tcPr>
          <w:p w14:paraId="6E357B7B">
            <w:pPr>
              <w:adjustRightInd w:val="0"/>
              <w:snapToGrid w:val="0"/>
              <w:jc w:val="center"/>
              <w:rPr>
                <w:rFonts w:hint="default" w:ascii="宋体" w:hAnsi="宋体" w:eastAsia="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15.07</w:t>
            </w:r>
          </w:p>
        </w:tc>
        <w:tc>
          <w:tcPr>
            <w:tcW w:w="1134" w:type="dxa"/>
            <w:tcBorders>
              <w:tl2br w:val="nil"/>
              <w:tr2bl w:val="nil"/>
            </w:tcBorders>
            <w:vAlign w:val="center"/>
          </w:tcPr>
          <w:p w14:paraId="6AED2D7F">
            <w:pPr>
              <w:tabs>
                <w:tab w:val="left" w:pos="402"/>
              </w:tabs>
              <w:adjustRightInd w:val="0"/>
              <w:snapToGrid w:val="0"/>
              <w:jc w:val="left"/>
              <w:rPr>
                <w:rFonts w:hint="default" w:ascii="宋体" w:hAnsi="宋体" w:cs="宋体"/>
                <w:b w:val="0"/>
                <w:bCs/>
                <w:color w:val="000000" w:themeColor="text1"/>
                <w:kern w:val="0"/>
                <w:sz w:val="21"/>
                <w:szCs w:val="21"/>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21"/>
                <w:szCs w:val="21"/>
                <w:shd w:val="clear" w:color="auto" w:fill="FFFFFF"/>
                <w:lang w:val="en-US" w:eastAsia="zh-CN"/>
                <w14:textFill>
                  <w14:solidFill>
                    <w14:schemeClr w14:val="tx1"/>
                  </w14:solidFill>
                </w14:textFill>
              </w:rPr>
              <w:t>法律服务</w:t>
            </w:r>
          </w:p>
        </w:tc>
      </w:tr>
    </w:tbl>
    <w:p w14:paraId="01E7F22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第二条 拍卖时间及地点</w:t>
      </w:r>
    </w:p>
    <w:p w14:paraId="02787D1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1、拍卖时间：202</w:t>
      </w:r>
      <w:r>
        <w:rPr>
          <w:rFonts w:hint="eastAsia" w:cs="宋体" w:asciiTheme="minorEastAsia" w:hAnsiTheme="minorEastAsia"/>
          <w:sz w:val="28"/>
          <w:szCs w:val="28"/>
          <w:lang w:val="en-US" w:eastAsia="zh-CN"/>
        </w:rPr>
        <w:t>6</w:t>
      </w:r>
      <w:r>
        <w:rPr>
          <w:rFonts w:hint="eastAsia" w:cs="宋体" w:asciiTheme="minorEastAsia" w:hAnsiTheme="minorEastAsia"/>
          <w:sz w:val="28"/>
          <w:szCs w:val="28"/>
        </w:rPr>
        <w:t>年</w:t>
      </w:r>
      <w:r>
        <w:rPr>
          <w:rFonts w:hint="eastAsia" w:cs="宋体" w:asciiTheme="minorEastAsia" w:hAnsiTheme="minorEastAsia"/>
          <w:sz w:val="28"/>
          <w:szCs w:val="28"/>
          <w:lang w:val="en-US" w:eastAsia="zh-CN"/>
        </w:rPr>
        <w:t>5</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22</w:t>
      </w:r>
      <w:r>
        <w:rPr>
          <w:rFonts w:hint="eastAsia" w:cs="宋体" w:asciiTheme="minorEastAsia" w:hAnsiTheme="minorEastAsia"/>
          <w:sz w:val="28"/>
          <w:szCs w:val="28"/>
        </w:rPr>
        <w:t xml:space="preserve">日上午 9:00。                </w:t>
      </w:r>
    </w:p>
    <w:p w14:paraId="6118C679">
      <w:pPr>
        <w:spacing w:line="460" w:lineRule="exact"/>
        <w:ind w:firstLine="560" w:firstLineChars="20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、拍卖地点：宜兴市公共资源交易中心</w:t>
      </w:r>
      <w:bookmarkStart w:id="0" w:name="_Hlk154153367"/>
      <w:r>
        <w:rPr>
          <w:rFonts w:hint="eastAsia" w:cs="宋体" w:asciiTheme="minorEastAsia" w:hAnsiTheme="minorEastAsia"/>
          <w:sz w:val="28"/>
          <w:szCs w:val="28"/>
          <w:lang w:val="en-US" w:eastAsia="zh-CN"/>
        </w:rPr>
        <w:t>多功能厅</w:t>
      </w:r>
      <w:r>
        <w:rPr>
          <w:rFonts w:hint="eastAsia" w:cs="宋体" w:asciiTheme="minorEastAsia" w:hAnsiTheme="minorEastAsia"/>
          <w:sz w:val="28"/>
          <w:szCs w:val="28"/>
        </w:rPr>
        <w:t>(宜兴市陶都路125号)</w:t>
      </w:r>
      <w:bookmarkEnd w:id="0"/>
    </w:p>
    <w:p w14:paraId="0FD1BC0A">
      <w:pPr>
        <w:spacing w:line="460" w:lineRule="exact"/>
        <w:ind w:firstLine="560" w:firstLineChars="200"/>
        <w:rPr>
          <w:rFonts w:cs="宋体" w:asciiTheme="minorEastAsia" w:hAnsiTheme="minorEastAsia"/>
          <w:b/>
          <w:bCs/>
          <w:sz w:val="28"/>
          <w:szCs w:val="28"/>
        </w:rPr>
      </w:pPr>
      <w:r>
        <w:rPr>
          <w:rFonts w:hint="eastAsia" w:cs="宋体" w:asciiTheme="minorEastAsia" w:hAnsiTheme="minorEastAsia"/>
          <w:sz w:val="28"/>
          <w:szCs w:val="28"/>
        </w:rPr>
        <w:t>第三条 拍卖报名</w:t>
      </w:r>
    </w:p>
    <w:p w14:paraId="64DDAC1B">
      <w:pPr>
        <w:pStyle w:val="3"/>
        <w:shd w:val="clear" w:color="auto" w:fill="FFFFFF"/>
        <w:spacing w:beforeAutospacing="0" w:afterAutospacing="0" w:line="460" w:lineRule="exact"/>
        <w:ind w:firstLine="420"/>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1、</w:t>
      </w:r>
      <w:bookmarkStart w:id="1" w:name="_Hlk154154618"/>
      <w:r>
        <w:rPr>
          <w:rFonts w:hint="eastAsia" w:cs="宋体" w:asciiTheme="minorEastAsia" w:hAnsiTheme="minorEastAsia"/>
          <w:color w:val="333333"/>
          <w:sz w:val="28"/>
          <w:szCs w:val="28"/>
          <w:shd w:val="clear" w:color="auto" w:fill="FFFFFF"/>
        </w:rPr>
        <w:t>报名</w:t>
      </w:r>
      <w:r>
        <w:rPr>
          <w:rFonts w:hint="eastAsia" w:asciiTheme="minorEastAsia" w:hAnsiTheme="minorEastAsia"/>
          <w:color w:val="333333"/>
          <w:sz w:val="28"/>
          <w:szCs w:val="28"/>
          <w:shd w:val="clear" w:color="auto" w:fill="FFFFFF"/>
        </w:rPr>
        <w:t>截止</w:t>
      </w:r>
      <w:r>
        <w:rPr>
          <w:rFonts w:hint="eastAsia" w:cs="宋体" w:asciiTheme="minorEastAsia" w:hAnsiTheme="minorEastAsia"/>
          <w:color w:val="333333"/>
          <w:sz w:val="28"/>
          <w:szCs w:val="28"/>
          <w:shd w:val="clear" w:color="auto" w:fill="FFFFFF"/>
        </w:rPr>
        <w:t>时间</w:t>
      </w:r>
      <w:bookmarkEnd w:id="1"/>
      <w:r>
        <w:rPr>
          <w:rFonts w:hint="eastAsia" w:cs="宋体" w:asciiTheme="minorEastAsia" w:hAnsiTheme="minorEastAsia"/>
          <w:color w:val="333333"/>
          <w:sz w:val="28"/>
          <w:szCs w:val="28"/>
          <w:shd w:val="clear" w:color="auto" w:fill="FFFFFF"/>
        </w:rPr>
        <w:t>：</w:t>
      </w:r>
      <w:r>
        <w:rPr>
          <w:rFonts w:hint="eastAsia" w:asciiTheme="minorEastAsia" w:hAnsiTheme="minorEastAsia"/>
          <w:color w:val="FF0000"/>
          <w:sz w:val="28"/>
          <w:szCs w:val="28"/>
          <w:shd w:val="clear" w:color="auto" w:fill="FFFFFF"/>
        </w:rPr>
        <w:t xml:space="preserve"> </w:t>
      </w:r>
      <w:bookmarkStart w:id="2" w:name="_Hlk154154629"/>
      <w:r>
        <w:rPr>
          <w:rFonts w:hint="eastAsia" w:cs="宋体" w:asciiTheme="minorEastAsia" w:hAnsiTheme="minorEastAsia"/>
          <w:sz w:val="28"/>
          <w:szCs w:val="28"/>
          <w:shd w:val="clear" w:color="auto" w:fill="FFFFFF"/>
        </w:rPr>
        <w:t>202</w:t>
      </w:r>
      <w:r>
        <w:rPr>
          <w:rFonts w:hint="eastAsia" w:cs="宋体" w:asciiTheme="minorEastAsia" w:hAnsiTheme="minorEastAsia"/>
          <w:sz w:val="28"/>
          <w:szCs w:val="28"/>
          <w:shd w:val="clear" w:color="auto" w:fill="FFFFFF"/>
          <w:lang w:val="en-US" w:eastAsia="zh-CN"/>
        </w:rPr>
        <w:t>6</w:t>
      </w:r>
      <w:r>
        <w:rPr>
          <w:rFonts w:hint="eastAsia"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val="en-US" w:eastAsia="zh-CN"/>
        </w:rPr>
        <w:t>5</w:t>
      </w:r>
      <w:r>
        <w:rPr>
          <w:rFonts w:hint="eastAsia"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21</w:t>
      </w:r>
      <w:r>
        <w:rPr>
          <w:rFonts w:hint="eastAsia" w:cs="宋体" w:asciiTheme="minorEastAsia" w:hAnsiTheme="minorEastAsia"/>
          <w:sz w:val="28"/>
          <w:szCs w:val="28"/>
          <w:shd w:val="clear" w:color="auto" w:fill="FFFFFF"/>
        </w:rPr>
        <w:t>日</w:t>
      </w:r>
      <w:bookmarkEnd w:id="2"/>
      <w:r>
        <w:rPr>
          <w:rFonts w:hint="eastAsia" w:cs="宋体" w:asciiTheme="minorEastAsia" w:hAnsiTheme="minorEastAsia"/>
          <w:color w:val="333333"/>
          <w:sz w:val="28"/>
          <w:szCs w:val="28"/>
          <w:shd w:val="clear" w:color="auto" w:fill="FFFFFF"/>
        </w:rPr>
        <w:t>16时30分</w:t>
      </w:r>
    </w:p>
    <w:p w14:paraId="3D022BC6">
      <w:pPr>
        <w:pStyle w:val="3"/>
        <w:shd w:val="clear" w:color="auto" w:fill="FFFFFF"/>
        <w:spacing w:beforeAutospacing="0" w:afterAutospacing="0" w:line="460" w:lineRule="exact"/>
        <w:ind w:firstLine="420"/>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3" w:name="_Hlk154154819"/>
      <w:r>
        <w:rPr>
          <w:rFonts w:hint="eastAsia" w:cs="宋体" w:asciiTheme="minorEastAsia" w:hAnsiTheme="minorEastAsia"/>
          <w:color w:val="333333"/>
          <w:sz w:val="28"/>
          <w:szCs w:val="28"/>
          <w:shd w:val="clear" w:color="auto" w:fill="FFFFFF"/>
        </w:rPr>
        <w:t>报名程序及注意事项</w:t>
      </w:r>
      <w:bookmarkEnd w:id="3"/>
      <w:r>
        <w:rPr>
          <w:rFonts w:hint="eastAsia" w:cs="宋体" w:asciiTheme="minorEastAsia" w:hAnsiTheme="minorEastAsia"/>
          <w:color w:val="333333"/>
          <w:sz w:val="28"/>
          <w:szCs w:val="28"/>
          <w:shd w:val="clear" w:color="auto" w:fill="FFFFFF"/>
        </w:rPr>
        <w:t>：</w:t>
      </w:r>
    </w:p>
    <w:p w14:paraId="61811C66">
      <w:pPr>
        <w:pStyle w:val="3"/>
        <w:shd w:val="clear" w:color="auto" w:fill="FFFFFF"/>
        <w:spacing w:beforeAutospacing="0" w:afterAutospacing="0" w:line="460" w:lineRule="exact"/>
        <w:ind w:firstLine="481"/>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3"/>
        <w:shd w:val="clear" w:color="auto" w:fill="FFFFFF"/>
        <w:spacing w:beforeAutospacing="0" w:afterAutospacing="0" w:line="460" w:lineRule="exact"/>
        <w:ind w:firstLine="481"/>
        <w:jc w:val="both"/>
        <w:rPr>
          <w:rFonts w:hint="default" w:asciiTheme="minorEastAsia" w:hAnsiTheme="minorEastAsia" w:eastAsiaTheme="minorEastAsia"/>
          <w:color w:val="333333"/>
          <w:sz w:val="28"/>
          <w:szCs w:val="28"/>
          <w:highlight w:val="yellow"/>
          <w:shd w:val="clear" w:color="auto" w:fill="FFFFFF"/>
          <w:lang w:val="en-US" w:eastAsia="zh-CN"/>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r>
        <w:rPr>
          <w:rFonts w:hint="eastAsia" w:asciiTheme="minorEastAsia" w:hAnsiTheme="minorEastAsia"/>
          <w:color w:val="333333"/>
          <w:sz w:val="28"/>
          <w:szCs w:val="28"/>
          <w:shd w:val="clear" w:color="auto" w:fill="FFFFFF"/>
          <w:lang w:val="en-US" w:eastAsia="zh-CN"/>
        </w:rPr>
        <w:t>2万元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772"/>
        <w:gridCol w:w="6900"/>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7" w:type="dxa"/>
            <w:vAlign w:val="center"/>
          </w:tcPr>
          <w:p w14:paraId="1536825A">
            <w:pPr>
              <w:pStyle w:val="3"/>
              <w:spacing w:beforeAutospacing="0" w:afterAutospacing="0"/>
              <w:jc w:val="center"/>
              <w:rPr>
                <w:color w:val="333333"/>
                <w:shd w:val="clear" w:color="auto" w:fill="FFFFFF"/>
              </w:rPr>
            </w:pPr>
            <w:r>
              <w:rPr>
                <w:rFonts w:hint="eastAsia"/>
                <w:color w:val="333333"/>
                <w:shd w:val="clear" w:color="auto" w:fill="FFFFFF"/>
              </w:rPr>
              <w:t>序号</w:t>
            </w:r>
          </w:p>
        </w:tc>
        <w:tc>
          <w:tcPr>
            <w:tcW w:w="1772" w:type="dxa"/>
            <w:vAlign w:val="center"/>
          </w:tcPr>
          <w:p w14:paraId="016E07DA">
            <w:pPr>
              <w:pStyle w:val="3"/>
              <w:spacing w:beforeAutospacing="0" w:afterAutospacing="0"/>
              <w:jc w:val="center"/>
              <w:rPr>
                <w:color w:val="333333"/>
                <w:shd w:val="clear" w:color="auto" w:fill="FFFFFF"/>
              </w:rPr>
            </w:pPr>
            <w:r>
              <w:rPr>
                <w:rFonts w:hint="eastAsia" w:ascii="宋体" w:hAnsi="宋体" w:eastAsia="宋体" w:cs="宋体"/>
                <w:color w:val="333333"/>
                <w:shd w:val="clear" w:color="auto" w:fill="FFFFFF"/>
              </w:rPr>
              <w:t>拍卖保证金</w:t>
            </w:r>
          </w:p>
        </w:tc>
        <w:tc>
          <w:tcPr>
            <w:tcW w:w="6900" w:type="dxa"/>
            <w:vAlign w:val="center"/>
          </w:tcPr>
          <w:p w14:paraId="53BC2ADB">
            <w:pPr>
              <w:pStyle w:val="3"/>
              <w:spacing w:beforeAutospacing="0" w:afterAutospacing="0"/>
              <w:ind w:firstLine="480"/>
              <w:jc w:val="center"/>
              <w:rPr>
                <w:color w:val="333333"/>
                <w:shd w:val="clear" w:color="auto" w:fill="FFFFFF"/>
              </w:rPr>
            </w:pPr>
            <w:r>
              <w:rPr>
                <w:rFonts w:hint="eastAsia"/>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7" w:type="dxa"/>
            <w:vAlign w:val="center"/>
          </w:tcPr>
          <w:p w14:paraId="5519467C">
            <w:pPr>
              <w:pStyle w:val="3"/>
              <w:spacing w:beforeAutospacing="0" w:afterAutospacing="0"/>
              <w:jc w:val="center"/>
              <w:rPr>
                <w:color w:val="333333"/>
                <w:shd w:val="clear" w:color="auto" w:fill="FFFFFF"/>
              </w:rPr>
            </w:pPr>
            <w:r>
              <w:rPr>
                <w:rFonts w:hint="eastAsia"/>
                <w:color w:val="333333"/>
                <w:shd w:val="clear" w:color="auto" w:fill="FFFFFF"/>
              </w:rPr>
              <w:t>1</w:t>
            </w:r>
          </w:p>
        </w:tc>
        <w:tc>
          <w:tcPr>
            <w:tcW w:w="1772" w:type="dxa"/>
            <w:vAlign w:val="center"/>
          </w:tcPr>
          <w:p w14:paraId="3C8031A1">
            <w:pPr>
              <w:pStyle w:val="3"/>
              <w:spacing w:beforeAutospacing="0" w:afterAutospacing="0"/>
              <w:jc w:val="center"/>
              <w:rPr>
                <w:color w:val="333333"/>
                <w:shd w:val="clear" w:color="auto" w:fill="FFFFFF"/>
              </w:rPr>
            </w:pPr>
            <w:r>
              <w:rPr>
                <w:rFonts w:hint="eastAsia"/>
                <w:color w:val="333333"/>
                <w:shd w:val="clear" w:color="auto" w:fill="FFFFFF"/>
              </w:rPr>
              <w:t>交纳金额</w:t>
            </w:r>
          </w:p>
        </w:tc>
        <w:tc>
          <w:tcPr>
            <w:tcW w:w="6900" w:type="dxa"/>
            <w:vAlign w:val="center"/>
          </w:tcPr>
          <w:p w14:paraId="2046BDF1">
            <w:pPr>
              <w:pStyle w:val="3"/>
              <w:spacing w:beforeAutospacing="0" w:afterAutospacing="0"/>
              <w:jc w:val="both"/>
              <w:rPr>
                <w:color w:val="333333"/>
                <w:shd w:val="clear" w:color="auto" w:fill="FFFFFF"/>
              </w:rPr>
            </w:pPr>
            <w:r>
              <w:rPr>
                <w:rFonts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7" w:type="dxa"/>
            <w:vAlign w:val="center"/>
          </w:tcPr>
          <w:p w14:paraId="00A45959">
            <w:pPr>
              <w:pStyle w:val="3"/>
              <w:spacing w:beforeAutospacing="0" w:afterAutospacing="0"/>
              <w:jc w:val="center"/>
              <w:rPr>
                <w:color w:val="333333"/>
                <w:shd w:val="clear" w:color="auto" w:fill="FFFFFF"/>
              </w:rPr>
            </w:pPr>
            <w:r>
              <w:rPr>
                <w:rFonts w:hint="eastAsia"/>
                <w:color w:val="333333"/>
                <w:shd w:val="clear" w:color="auto" w:fill="FFFFFF"/>
              </w:rPr>
              <w:t>2</w:t>
            </w:r>
          </w:p>
        </w:tc>
        <w:tc>
          <w:tcPr>
            <w:tcW w:w="1772" w:type="dxa"/>
            <w:vAlign w:val="center"/>
          </w:tcPr>
          <w:p w14:paraId="6C170109">
            <w:pPr>
              <w:pStyle w:val="3"/>
              <w:spacing w:beforeAutospacing="0" w:afterAutospacing="0"/>
              <w:jc w:val="center"/>
              <w:rPr>
                <w:color w:val="333333"/>
                <w:shd w:val="clear" w:color="auto" w:fill="FFFFFF"/>
              </w:rPr>
            </w:pPr>
            <w:r>
              <w:rPr>
                <w:rFonts w:hint="eastAsia"/>
              </w:rPr>
              <w:t>交纳</w:t>
            </w:r>
            <w:r>
              <w:t>形式</w:t>
            </w:r>
          </w:p>
        </w:tc>
        <w:tc>
          <w:tcPr>
            <w:tcW w:w="6900" w:type="dxa"/>
            <w:vAlign w:val="center"/>
          </w:tcPr>
          <w:p w14:paraId="18FEF923">
            <w:pPr>
              <w:pStyle w:val="3"/>
              <w:spacing w:beforeAutospacing="0" w:afterAutospacing="0"/>
              <w:jc w:val="both"/>
              <w:rPr>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dxa"/>
            <w:vAlign w:val="center"/>
          </w:tcPr>
          <w:p w14:paraId="43A217BA">
            <w:pPr>
              <w:pStyle w:val="3"/>
              <w:spacing w:beforeAutospacing="0" w:afterAutospacing="0"/>
              <w:jc w:val="center"/>
              <w:rPr>
                <w:color w:val="333333"/>
                <w:shd w:val="clear" w:color="auto" w:fill="FFFFFF"/>
              </w:rPr>
            </w:pPr>
            <w:r>
              <w:rPr>
                <w:rFonts w:hint="eastAsia"/>
                <w:color w:val="333333"/>
                <w:shd w:val="clear" w:color="auto" w:fill="FFFFFF"/>
              </w:rPr>
              <w:t>3</w:t>
            </w:r>
          </w:p>
        </w:tc>
        <w:tc>
          <w:tcPr>
            <w:tcW w:w="1772" w:type="dxa"/>
            <w:vAlign w:val="center"/>
          </w:tcPr>
          <w:p w14:paraId="7852E645">
            <w:pPr>
              <w:pStyle w:val="3"/>
              <w:spacing w:beforeAutospacing="0" w:afterAutospacing="0"/>
              <w:jc w:val="center"/>
              <w:rPr>
                <w:color w:val="333333"/>
                <w:shd w:val="clear" w:color="auto" w:fill="FFFFFF"/>
              </w:rPr>
            </w:pPr>
            <w:r>
              <w:t>账户名称</w:t>
            </w:r>
          </w:p>
        </w:tc>
        <w:tc>
          <w:tcPr>
            <w:tcW w:w="6900" w:type="dxa"/>
            <w:vAlign w:val="center"/>
          </w:tcPr>
          <w:p w14:paraId="6A9C604E">
            <w:pPr>
              <w:pStyle w:val="3"/>
              <w:spacing w:beforeAutospacing="0" w:afterAutospacing="0"/>
              <w:jc w:val="both"/>
              <w:rPr>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7" w:type="dxa"/>
            <w:vAlign w:val="center"/>
          </w:tcPr>
          <w:p w14:paraId="6EFEB2E7">
            <w:pPr>
              <w:pStyle w:val="3"/>
              <w:spacing w:beforeAutospacing="0" w:afterAutospacing="0"/>
              <w:jc w:val="center"/>
              <w:rPr>
                <w:color w:val="333333"/>
                <w:shd w:val="clear" w:color="auto" w:fill="FFFFFF"/>
              </w:rPr>
            </w:pPr>
            <w:r>
              <w:rPr>
                <w:rFonts w:hint="eastAsia"/>
                <w:color w:val="333333"/>
                <w:shd w:val="clear" w:color="auto" w:fill="FFFFFF"/>
              </w:rPr>
              <w:t>4</w:t>
            </w:r>
          </w:p>
        </w:tc>
        <w:tc>
          <w:tcPr>
            <w:tcW w:w="1772" w:type="dxa"/>
            <w:vAlign w:val="center"/>
          </w:tcPr>
          <w:p w14:paraId="3A7013FD">
            <w:pPr>
              <w:pStyle w:val="3"/>
              <w:spacing w:beforeAutospacing="0" w:afterAutospacing="0"/>
              <w:jc w:val="center"/>
              <w:rPr>
                <w:color w:val="333333"/>
                <w:shd w:val="clear" w:color="auto" w:fill="FFFFFF"/>
              </w:rPr>
            </w:pPr>
            <w:r>
              <w:t>开户银行</w:t>
            </w:r>
          </w:p>
        </w:tc>
        <w:tc>
          <w:tcPr>
            <w:tcW w:w="6900" w:type="dxa"/>
            <w:vAlign w:val="center"/>
          </w:tcPr>
          <w:p w14:paraId="1640B1BA">
            <w:pPr>
              <w:pStyle w:val="3"/>
              <w:spacing w:beforeAutospacing="0" w:afterAutospacing="0"/>
              <w:jc w:val="both"/>
              <w:rPr>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7" w:type="dxa"/>
            <w:vAlign w:val="center"/>
          </w:tcPr>
          <w:p w14:paraId="3C2558E9">
            <w:pPr>
              <w:pStyle w:val="3"/>
              <w:spacing w:beforeAutospacing="0" w:afterAutospacing="0"/>
              <w:jc w:val="center"/>
              <w:rPr>
                <w:color w:val="333333"/>
                <w:shd w:val="clear" w:color="auto" w:fill="FFFFFF"/>
              </w:rPr>
            </w:pPr>
            <w:r>
              <w:rPr>
                <w:rFonts w:hint="eastAsia"/>
                <w:color w:val="333333"/>
                <w:shd w:val="clear" w:color="auto" w:fill="FFFFFF"/>
              </w:rPr>
              <w:t>5</w:t>
            </w:r>
          </w:p>
        </w:tc>
        <w:tc>
          <w:tcPr>
            <w:tcW w:w="1772" w:type="dxa"/>
            <w:vAlign w:val="center"/>
          </w:tcPr>
          <w:p w14:paraId="410749AC">
            <w:pPr>
              <w:pStyle w:val="3"/>
              <w:spacing w:beforeAutospacing="0" w:afterAutospacing="0"/>
              <w:jc w:val="center"/>
              <w:rPr>
                <w:color w:val="333333"/>
                <w:shd w:val="clear" w:color="auto" w:fill="FFFFFF"/>
              </w:rPr>
            </w:pPr>
            <w:r>
              <w:t>银行账号</w:t>
            </w:r>
          </w:p>
        </w:tc>
        <w:tc>
          <w:tcPr>
            <w:tcW w:w="6900" w:type="dxa"/>
            <w:vAlign w:val="center"/>
          </w:tcPr>
          <w:p w14:paraId="172FDBCF">
            <w:pPr>
              <w:pStyle w:val="3"/>
              <w:spacing w:beforeAutospacing="0" w:afterAutospacing="0"/>
              <w:jc w:val="both"/>
              <w:rPr>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3"/>
        <w:shd w:val="clear" w:color="auto" w:fill="FFFFFF"/>
        <w:spacing w:beforeAutospacing="0" w:afterAutospacing="0" w:line="460" w:lineRule="exact"/>
        <w:ind w:left="490" w:leftChars="100" w:hanging="280" w:hangingChars="100"/>
        <w:jc w:val="both"/>
        <w:rPr>
          <w:rFonts w:asciiTheme="minorEastAsia" w:hAnsiTheme="minorEastAsia"/>
          <w:sz w:val="28"/>
          <w:szCs w:val="28"/>
        </w:rPr>
      </w:pPr>
    </w:p>
    <w:p w14:paraId="3A0E810B">
      <w:pPr>
        <w:pStyle w:val="3"/>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lang w:val="en-US" w:eastAsia="zh-CN"/>
        </w:rPr>
        <w:t>注：</w:t>
      </w:r>
      <w:r>
        <w:rPr>
          <w:rFonts w:hint="eastAsia" w:asciiTheme="minorEastAsia" w:hAnsiTheme="minorEastAsia"/>
          <w:sz w:val="28"/>
          <w:szCs w:val="28"/>
        </w:rPr>
        <w:t>①</w:t>
      </w:r>
      <w:r>
        <w:rPr>
          <w:rFonts w:asciiTheme="minorEastAsia" w:hAnsiTheme="minorEastAsia"/>
          <w:sz w:val="28"/>
          <w:szCs w:val="28"/>
        </w:rPr>
        <w:t xml:space="preserve"> “网上交易系统”是指宜兴市公共资源交易中心网上交易系统。</w:t>
      </w:r>
    </w:p>
    <w:p w14:paraId="2B0D10E4">
      <w:pPr>
        <w:pStyle w:val="3"/>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② </w:t>
      </w:r>
      <w:r>
        <w:rPr>
          <w:rFonts w:asciiTheme="minorEastAsia" w:hAnsiTheme="minorEastAsia"/>
          <w:sz w:val="28"/>
          <w:szCs w:val="28"/>
        </w:rPr>
        <w:t>保证金子账号查询方式：竞买人进入网上交易系统后，</w:t>
      </w:r>
      <w:r>
        <w:rPr>
          <w:rFonts w:hint="eastAsia" w:asciiTheme="minorEastAsia" w:hAnsiTheme="minorEastAsia"/>
          <w:sz w:val="28"/>
          <w:szCs w:val="28"/>
        </w:rPr>
        <w:t>即可在相应标的查看</w:t>
      </w:r>
      <w:r>
        <w:rPr>
          <w:rFonts w:asciiTheme="minorEastAsia" w:hAnsiTheme="minorEastAsia"/>
          <w:sz w:val="28"/>
          <w:szCs w:val="28"/>
        </w:rPr>
        <w:t>保证金子账号。</w:t>
      </w:r>
    </w:p>
    <w:p w14:paraId="4563B508">
      <w:pPr>
        <w:pStyle w:val="3"/>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③ </w:t>
      </w:r>
      <w:r>
        <w:rPr>
          <w:rFonts w:asciiTheme="minorEastAsia" w:hAnsiTheme="minorEastAsia"/>
          <w:sz w:val="28"/>
          <w:szCs w:val="28"/>
        </w:rPr>
        <w:t>保证金划出账号必须与宜兴市公共资源交易中心企业诚信库中的企业银行基本账户</w:t>
      </w:r>
      <w:r>
        <w:rPr>
          <w:rFonts w:hint="eastAsia" w:asciiTheme="minorEastAsia" w:hAnsiTheme="minorEastAsia"/>
          <w:sz w:val="28"/>
          <w:szCs w:val="28"/>
        </w:rPr>
        <w:t>或个人账户的</w:t>
      </w:r>
      <w:r>
        <w:rPr>
          <w:rFonts w:asciiTheme="minorEastAsia" w:hAnsiTheme="minorEastAsia"/>
          <w:sz w:val="28"/>
          <w:szCs w:val="28"/>
        </w:rPr>
        <w:t>开户账号一致，否则无法进行网上保证金的</w:t>
      </w:r>
      <w:r>
        <w:rPr>
          <w:rFonts w:hint="eastAsia" w:asciiTheme="minorEastAsia" w:hAnsiTheme="minorEastAsia"/>
          <w:sz w:val="28"/>
          <w:szCs w:val="28"/>
        </w:rPr>
        <w:t>交</w:t>
      </w:r>
      <w:r>
        <w:rPr>
          <w:rFonts w:asciiTheme="minorEastAsia" w:hAnsiTheme="minorEastAsia"/>
          <w:sz w:val="28"/>
          <w:szCs w:val="28"/>
        </w:rPr>
        <w:t>纳，请竞买人确保企业诚信库中账户的准确性和有效性。</w:t>
      </w:r>
    </w:p>
    <w:p w14:paraId="0440B4D1">
      <w:pPr>
        <w:pStyle w:val="3"/>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④ </w:t>
      </w:r>
      <w:r>
        <w:rPr>
          <w:rFonts w:asciiTheme="minorEastAsia" w:hAnsiTheme="minorEastAsia"/>
          <w:sz w:val="28"/>
          <w:szCs w:val="28"/>
        </w:rPr>
        <w:t>各竞买人应当充分考虑各种因素导致保证金入账滞后风险 （如异地、跨行到账 延迟等银行系统问题或竞买人自身汇款有误等情况），请</w:t>
      </w:r>
      <w:r>
        <w:rPr>
          <w:rFonts w:hint="eastAsia" w:asciiTheme="minorEastAsia" w:hAnsiTheme="minorEastAsia"/>
          <w:sz w:val="28"/>
          <w:szCs w:val="28"/>
        </w:rPr>
        <w:t>竞买人</w:t>
      </w:r>
      <w:r>
        <w:rPr>
          <w:rFonts w:asciiTheme="minorEastAsia" w:hAnsiTheme="minorEastAsia"/>
          <w:sz w:val="28"/>
          <w:szCs w:val="28"/>
        </w:rPr>
        <w:t>根据自己的实际情况尽早安排好保证金的到账时间，确保保证金在</w:t>
      </w:r>
      <w:r>
        <w:rPr>
          <w:rFonts w:hint="eastAsia" w:asciiTheme="minorEastAsia" w:hAnsiTheme="minorEastAsia"/>
          <w:sz w:val="28"/>
          <w:szCs w:val="28"/>
        </w:rPr>
        <w:t>报名</w:t>
      </w:r>
      <w:r>
        <w:rPr>
          <w:rFonts w:asciiTheme="minorEastAsia" w:hAnsiTheme="minorEastAsia"/>
          <w:sz w:val="28"/>
          <w:szCs w:val="28"/>
        </w:rPr>
        <w:t>截止时间前到账,否则造成无效</w:t>
      </w:r>
      <w:r>
        <w:rPr>
          <w:rFonts w:hint="eastAsia" w:asciiTheme="minorEastAsia" w:hAnsiTheme="minorEastAsia"/>
          <w:sz w:val="28"/>
          <w:szCs w:val="28"/>
        </w:rPr>
        <w:t>报名</w:t>
      </w:r>
      <w:r>
        <w:rPr>
          <w:rFonts w:asciiTheme="minorEastAsia" w:hAnsiTheme="minorEastAsia"/>
          <w:sz w:val="28"/>
          <w:szCs w:val="28"/>
        </w:rPr>
        <w:t>的责任自负。</w:t>
      </w:r>
    </w:p>
    <w:p w14:paraId="3613B86E">
      <w:pPr>
        <w:pStyle w:val="3"/>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⑤ </w:t>
      </w:r>
      <w:r>
        <w:rPr>
          <w:rFonts w:asciiTheme="minorEastAsia" w:hAnsiTheme="minorEastAsia"/>
          <w:sz w:val="28"/>
          <w:szCs w:val="28"/>
        </w:rPr>
        <w:t>若因系统问题，</w:t>
      </w:r>
      <w:r>
        <w:rPr>
          <w:rFonts w:hint="eastAsia" w:asciiTheme="minorEastAsia" w:hAnsiTheme="minorEastAsia"/>
          <w:sz w:val="28"/>
          <w:szCs w:val="28"/>
        </w:rPr>
        <w:t>报名截止</w:t>
      </w:r>
      <w:r>
        <w:rPr>
          <w:rFonts w:asciiTheme="minorEastAsia" w:hAnsiTheme="minorEastAsia"/>
          <w:sz w:val="28"/>
          <w:szCs w:val="28"/>
        </w:rPr>
        <w:t>时系统无法正常显示保证金到账情况</w:t>
      </w:r>
      <w:r>
        <w:rPr>
          <w:rFonts w:hint="eastAsia" w:asciiTheme="minorEastAsia" w:hAnsiTheme="minorEastAsia"/>
          <w:sz w:val="28"/>
          <w:szCs w:val="28"/>
        </w:rPr>
        <w:t>的</w:t>
      </w:r>
      <w:r>
        <w:rPr>
          <w:rFonts w:asciiTheme="minorEastAsia" w:hAnsiTheme="minorEastAsia"/>
          <w:sz w:val="28"/>
          <w:szCs w:val="28"/>
        </w:rPr>
        <w:t>，以实际到账(子账号)为准。</w:t>
      </w:r>
    </w:p>
    <w:p w14:paraId="4EA2753B">
      <w:pPr>
        <w:pStyle w:val="3"/>
        <w:shd w:val="clear" w:color="auto" w:fill="FFFFFF"/>
        <w:spacing w:beforeAutospacing="0" w:afterAutospacing="0" w:line="460" w:lineRule="exact"/>
        <w:ind w:firstLine="560" w:firstLineChars="200"/>
        <w:rPr>
          <w:rFonts w:cs="宋体" w:asciiTheme="minorEastAsia" w:hAnsiTheme="minorEastAsia"/>
          <w:color w:val="333333"/>
          <w:sz w:val="28"/>
          <w:szCs w:val="28"/>
          <w:highlight w:val="yellow"/>
          <w:shd w:val="clear" w:color="auto" w:fill="FFFFFF"/>
        </w:rPr>
      </w:pPr>
      <w:r>
        <w:rPr>
          <w:rFonts w:hint="eastAsia" w:asciiTheme="minorEastAsia" w:hAnsiTheme="minorEastAsia"/>
          <w:sz w:val="28"/>
          <w:szCs w:val="28"/>
        </w:rPr>
        <w:t xml:space="preserve">⑥ </w:t>
      </w:r>
      <w:r>
        <w:rPr>
          <w:rFonts w:asciiTheme="minorEastAsia" w:hAnsiTheme="minorEastAsia"/>
          <w:sz w:val="28"/>
          <w:szCs w:val="28"/>
        </w:rPr>
        <w:t>中 国 农 业 银 行 股 份 有 限 公 司 宜 兴 分 行 营 业 部 行 号 ：103302364819。 公共资源交易中心财务咨询电话：87956061。</w:t>
      </w:r>
    </w:p>
    <w:p w14:paraId="5D10EC56">
      <w:pPr>
        <w:pStyle w:val="3"/>
        <w:shd w:val="clear" w:color="auto" w:fill="FFFFFF"/>
        <w:spacing w:beforeAutospacing="0" w:afterAutospacing="0" w:line="460" w:lineRule="exact"/>
        <w:ind w:firstLine="481"/>
        <w:jc w:val="both"/>
        <w:rPr>
          <w:rFonts w:hint="default" w:asciiTheme="minorEastAsia" w:hAnsiTheme="minorEastAsia" w:eastAsiaTheme="minorEastAsia"/>
          <w:b w:val="0"/>
          <w:bCs w:val="0"/>
          <w:color w:val="333333"/>
          <w:sz w:val="28"/>
          <w:szCs w:val="28"/>
          <w:lang w:val="en-US" w:eastAsia="zh-CN"/>
        </w:rPr>
      </w:pPr>
      <w:r>
        <w:rPr>
          <w:rFonts w:hint="eastAsia" w:cs="宋体" w:asciiTheme="minorEastAsia" w:hAnsiTheme="minorEastAsia"/>
          <w:color w:val="333333"/>
          <w:sz w:val="28"/>
          <w:szCs w:val="28"/>
          <w:shd w:val="clear" w:color="auto" w:fill="FFFFFF"/>
        </w:rPr>
        <w:t>（3）</w:t>
      </w:r>
      <w:r>
        <w:rPr>
          <w:rFonts w:hint="eastAsia" w:asciiTheme="minorEastAsia" w:hAnsiTheme="minorEastAsia"/>
          <w:b w:val="0"/>
          <w:bCs w:val="0"/>
          <w:color w:val="333333"/>
          <w:sz w:val="28"/>
          <w:szCs w:val="28"/>
          <w:shd w:val="clear" w:color="auto" w:fill="FFFFFF"/>
        </w:rPr>
        <w:t>特殊</w:t>
      </w:r>
      <w:r>
        <w:rPr>
          <w:rFonts w:hint="eastAsia" w:cs="宋体" w:asciiTheme="minorEastAsia" w:hAnsiTheme="minorEastAsia"/>
          <w:b w:val="0"/>
          <w:bCs w:val="0"/>
          <w:color w:val="333333"/>
          <w:sz w:val="28"/>
          <w:szCs w:val="28"/>
          <w:shd w:val="clear" w:color="auto" w:fill="FFFFFF"/>
        </w:rPr>
        <w:t>要求：</w:t>
      </w:r>
      <w:r>
        <w:rPr>
          <w:rFonts w:hint="eastAsia" w:cs="宋体" w:asciiTheme="minorEastAsia" w:hAnsiTheme="minorEastAsia"/>
          <w:b w:val="0"/>
          <w:bCs w:val="0"/>
          <w:color w:val="333333"/>
          <w:sz w:val="28"/>
          <w:szCs w:val="28"/>
          <w:shd w:val="clear" w:color="auto" w:fill="FFFFFF"/>
          <w:lang w:val="en-US" w:eastAsia="zh-CN"/>
        </w:rPr>
        <w:t>限定用途为法律服务</w:t>
      </w:r>
    </w:p>
    <w:p w14:paraId="1D0C4FED">
      <w:pPr>
        <w:pStyle w:val="3"/>
        <w:shd w:val="clear" w:color="auto" w:fill="FFFFFF"/>
        <w:spacing w:beforeAutospacing="0" w:afterAutospacing="0" w:line="460" w:lineRule="exact"/>
        <w:ind w:firstLine="481"/>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（4）竞买人应在</w:t>
      </w:r>
      <w:r>
        <w:rPr>
          <w:rFonts w:hint="eastAsia" w:asciiTheme="minorEastAsia" w:hAnsiTheme="minorEastAsia"/>
          <w:color w:val="333333"/>
          <w:sz w:val="28"/>
          <w:szCs w:val="28"/>
          <w:shd w:val="clear" w:color="auto" w:fill="FFFFFF"/>
        </w:rPr>
        <w:t>报名截止时间前</w:t>
      </w:r>
      <w:r>
        <w:rPr>
          <w:rFonts w:hint="eastAsia" w:cs="宋体" w:asciiTheme="minorEastAsia" w:hAnsiTheme="minorEastAsia"/>
          <w:color w:val="333333"/>
          <w:sz w:val="28"/>
          <w:szCs w:val="28"/>
          <w:shd w:val="clear" w:color="auto" w:fill="FFFFFF"/>
        </w:rPr>
        <w:t>完成注册，</w:t>
      </w:r>
      <w:r>
        <w:rPr>
          <w:rFonts w:hint="eastAsia" w:asciiTheme="minorEastAsia" w:hAnsiTheme="minorEastAsia"/>
          <w:color w:val="333333"/>
          <w:sz w:val="28"/>
          <w:szCs w:val="28"/>
          <w:shd w:val="clear" w:color="auto" w:fill="FFFFFF"/>
        </w:rPr>
        <w:t>并按照相关要求进行报名；</w:t>
      </w:r>
      <w:r>
        <w:rPr>
          <w:rFonts w:hint="eastAsia" w:cs="宋体" w:asciiTheme="minorEastAsia" w:hAnsiTheme="minorEastAsia"/>
          <w:color w:val="333333"/>
          <w:sz w:val="28"/>
          <w:szCs w:val="28"/>
          <w:shd w:val="clear" w:color="auto" w:fill="FFFFFF"/>
        </w:rPr>
        <w:t>未在规定期限内完成报名手续的或未通过后台审核的竞买人不得参加竞买。</w:t>
      </w:r>
    </w:p>
    <w:p w14:paraId="692E320C">
      <w:pPr>
        <w:pStyle w:val="3"/>
        <w:shd w:val="clear" w:color="auto" w:fill="FFFFFF"/>
        <w:spacing w:beforeAutospacing="0" w:afterAutospacing="0" w:line="460" w:lineRule="exact"/>
        <w:ind w:firstLine="420"/>
        <w:jc w:val="both"/>
        <w:rPr>
          <w:rFonts w:cs="宋体" w:asciiTheme="minorEastAsia" w:hAnsiTheme="minorEastAsia"/>
          <w:sz w:val="28"/>
          <w:szCs w:val="28"/>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65AA8807">
      <w:pPr>
        <w:spacing w:line="460" w:lineRule="exact"/>
        <w:ind w:firstLine="560" w:firstLineChars="200"/>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spacing w:line="460" w:lineRule="exact"/>
        <w:ind w:firstLine="562" w:firstLineChars="200"/>
        <w:rPr>
          <w:rFonts w:cs="宋体" w:asciiTheme="minorEastAsia" w:hAnsiTheme="minorEastAsia"/>
          <w:sz w:val="28"/>
          <w:szCs w:val="28"/>
        </w:rPr>
      </w:pPr>
      <w:r>
        <w:rPr>
          <w:rFonts w:hint="eastAsia" w:cs="宋体" w:asciiTheme="minorEastAsia" w:hAnsiTheme="minorEastAsia"/>
          <w:b/>
          <w:bCs/>
          <w:sz w:val="28"/>
          <w:szCs w:val="28"/>
        </w:rPr>
        <w:t>第十二条 本项目无需缴纳交易服务费</w:t>
      </w:r>
      <w:r>
        <w:rPr>
          <w:rFonts w:hint="eastAsia" w:cs="宋体" w:asciiTheme="minorEastAsia" w:hAnsiTheme="minorEastAsia"/>
          <w:sz w:val="28"/>
          <w:szCs w:val="28"/>
        </w:rPr>
        <w:t>。</w:t>
      </w:r>
    </w:p>
    <w:p w14:paraId="3D8C14A9">
      <w:pPr>
        <w:spacing w:line="460" w:lineRule="exact"/>
        <w:ind w:firstLine="560" w:firstLineChars="200"/>
        <w:rPr>
          <w:rFonts w:cs="宋体" w:asciiTheme="minorEastAsia" w:hAnsiTheme="minorEastAsia"/>
          <w:sz w:val="28"/>
          <w:szCs w:val="28"/>
        </w:rPr>
      </w:pPr>
      <w:bookmarkStart w:id="4"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single"/>
        </w:rPr>
        <w:t>5</w:t>
      </w:r>
      <w:r>
        <w:rPr>
          <w:rFonts w:hint="eastAsia" w:cs="宋体" w:asciiTheme="minorEastAsia" w:hAnsiTheme="minorEastAsia"/>
          <w:bCs/>
          <w:sz w:val="28"/>
          <w:szCs w:val="28"/>
        </w:rPr>
        <w:t xml:space="preserve"> %交</w:t>
      </w:r>
      <w:r>
        <w:rPr>
          <w:rFonts w:hint="eastAsia" w:cs="宋体" w:asciiTheme="minorEastAsia" w:hAnsiTheme="minorEastAsia"/>
          <w:sz w:val="28"/>
          <w:szCs w:val="28"/>
        </w:rPr>
        <w:t>纳拍卖佣金</w:t>
      </w:r>
      <w:bookmarkEnd w:id="4"/>
      <w:r>
        <w:rPr>
          <w:rFonts w:hint="eastAsia" w:cs="宋体" w:asciiTheme="minorEastAsia" w:hAnsiTheme="minorEastAsia"/>
          <w:sz w:val="28"/>
          <w:szCs w:val="28"/>
        </w:rPr>
        <w:t>，自成交之日起5个工作日内交清</w:t>
      </w:r>
      <w:r>
        <w:rPr>
          <w:rFonts w:hint="eastAsia" w:cs="宋体" w:asciiTheme="minorEastAsia" w:hAnsiTheme="minorEastAsia"/>
          <w:b/>
          <w:bCs/>
          <w:sz w:val="28"/>
          <w:szCs w:val="28"/>
        </w:rPr>
        <w:t>拍卖成交价款、租赁押金（如有）及拍卖佣金</w:t>
      </w:r>
      <w:r>
        <w:rPr>
          <w:rFonts w:hint="eastAsia" w:cs="宋体" w:asciiTheme="minorEastAsia" w:hAnsiTheme="minorEastAsia"/>
          <w:sz w:val="28"/>
          <w:szCs w:val="28"/>
        </w:rPr>
        <w:t>（详见缴款流程），并以到账时间为准。</w:t>
      </w:r>
    </w:p>
    <w:p w14:paraId="6B8153A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第十四条 拍卖成交后,拍卖人向买受人提供拍卖成交确认书和佣金票据,委托人向买受人提供成交额票据。</w:t>
      </w:r>
    </w:p>
    <w:p w14:paraId="5945553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第十六条 当竞买人出现下列情形时，交易保证金不予退还：</w:t>
      </w:r>
    </w:p>
    <w:p w14:paraId="5582CBD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第十七条 拍卖保证金处置：</w:t>
      </w:r>
    </w:p>
    <w:p w14:paraId="2D698B0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（一）买受人在规定时间内付清全部款项后，拍卖公司在收到拍卖成交款票据、拍卖佣金票据等凭证后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第十八条 本次拍品拍卖时的起拍价、成交价均不含拍卖人在竞得后所需支付的包括但不限于佣金、安装、交接、物业费、水、电、气、清场费等发生的一切相关费用和税费。</w:t>
      </w:r>
    </w:p>
    <w:p w14:paraId="72A7B4B2">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第十九条 本规则未明示的拍品不明瑕疵与委托人及拍卖人无关。</w:t>
      </w:r>
    </w:p>
    <w:p w14:paraId="7C3D3DC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第二十条 本规则未尽事宜，按《中华人民共和国拍卖法》及相关法律法规规定执行。</w:t>
      </w:r>
    </w:p>
    <w:p w14:paraId="3D90B9A7">
      <w:pPr>
        <w:spacing w:line="400" w:lineRule="exact"/>
        <w:jc w:val="center"/>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 xml:space="preserve">                                    无锡市万顺博</w:t>
      </w:r>
      <w:r>
        <w:rPr>
          <w:rFonts w:hint="eastAsia" w:ascii="宋体" w:hAnsi="宋体" w:eastAsia="宋体" w:cs="宋体"/>
          <w:b w:val="0"/>
          <w:bCs w:val="0"/>
          <w:sz w:val="28"/>
          <w:szCs w:val="28"/>
        </w:rPr>
        <w:t>拍卖有限公司</w:t>
      </w:r>
    </w:p>
    <w:p w14:paraId="74133D47">
      <w:pPr>
        <w:spacing w:line="400" w:lineRule="exact"/>
        <w:jc w:val="center"/>
        <w:rPr>
          <w:rFonts w:ascii="宋体" w:hAnsi="宋体" w:eastAsia="宋体" w:cs="宋体"/>
          <w:b/>
          <w:bCs/>
          <w:sz w:val="24"/>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9</w:t>
      </w:r>
      <w:bookmarkStart w:id="5" w:name="_GoBack"/>
      <w:bookmarkEnd w:id="5"/>
      <w:r>
        <w:rPr>
          <w:rFonts w:hint="eastAsia" w:ascii="宋体" w:hAnsi="宋体" w:eastAsia="宋体" w:cs="宋体"/>
          <w:b w:val="0"/>
          <w:bCs w:val="0"/>
          <w:sz w:val="28"/>
          <w:szCs w:val="28"/>
        </w:rPr>
        <w:t>日</w:t>
      </w:r>
    </w:p>
    <w:p w14:paraId="381DF34F">
      <w:pPr>
        <w:spacing w:line="400" w:lineRule="exact"/>
        <w:jc w:val="right"/>
        <w:rPr>
          <w:rFonts w:ascii="宋体" w:hAnsi="宋体" w:eastAsia="宋体" w:cs="宋体"/>
          <w:b/>
          <w:bCs/>
          <w:sz w:val="24"/>
        </w:rPr>
      </w:pPr>
    </w:p>
    <w:p w14:paraId="64C9344A">
      <w:pPr>
        <w:spacing w:line="400" w:lineRule="exact"/>
        <w:ind w:firstLine="562" w:firstLineChars="200"/>
        <w:rPr>
          <w:rFonts w:hint="eastAsia" w:ascii="宋体" w:hAnsi="宋体" w:eastAsia="宋体" w:cs="宋体"/>
          <w:sz w:val="24"/>
          <w:lang w:eastAsia="zh-CN"/>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p w14:paraId="32F1EB69"/>
    <w:sectPr>
      <w:footerReference r:id="rId3" w:type="default"/>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52370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A52370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752BB"/>
    <w:rsid w:val="29D67CF9"/>
    <w:rsid w:val="3C2B07C3"/>
    <w:rsid w:val="5AB26E5B"/>
    <w:rsid w:val="6086221E"/>
    <w:rsid w:val="65AA3A15"/>
    <w:rsid w:val="7152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2954</Words>
  <Characters>3001</Characters>
  <Lines>0</Lines>
  <Paragraphs>0</Paragraphs>
  <TotalTime>3</TotalTime>
  <ScaleCrop>false</ScaleCrop>
  <LinksUpToDate>false</LinksUpToDate>
  <CharactersWithSpaces>3149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2026-05-02T08:40:00Z</dcterms:created>
  <dc:creator>HUAWEI</dc:creator>
  <cp:lastModifiedBy>陆建君</cp:lastModifiedBy>
  <dcterms:modified xsi:type="dcterms:W3CDTF">2026-05-07T08:25:15Z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eyJoZGlkIjoiMTEzMmZhMGY5OTkxY2I3Y2NmNzJiZjFjNmE3NjA5OTAiLCJ1c2VySWQiOiIxMTY2Njc1NDQ2In0=</vt:lpwstr>
  </property>
  <property fmtid="{D5CDD505-2E9C-101B-9397-08002B2CF9AE}" pid="4" name="ICV">
    <vt:lpwstr>A108ADA55C5040C6B1E50BF3AFB29019_12</vt:lpwstr>
  </property>
</Properties>
</file>