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53FD2">
      <w:pPr>
        <w:widowControl/>
        <w:snapToGrid w:val="0"/>
        <w:spacing w:line="560" w:lineRule="exact"/>
        <w:ind w:firstLine="0" w:firstLineChars="0"/>
        <w:jc w:val="center"/>
        <w:rPr>
          <w:rFonts w:hint="eastAsia" w:ascii="Times New Roman" w:hAnsi="Times New Roman" w:eastAsia="方正小标宋_GBK"/>
          <w:bCs/>
          <w:color w:val="000000"/>
          <w:kern w:val="0"/>
          <w:sz w:val="44"/>
          <w:szCs w:val="44"/>
          <w:lang w:eastAsia="zh-CN"/>
        </w:rPr>
      </w:pPr>
      <w:r>
        <w:rPr>
          <w:rFonts w:ascii="Times New Roman" w:hAnsi="Times New Roman" w:eastAsia="方正小标宋_GBK"/>
          <w:bCs/>
          <w:color w:val="000000"/>
          <w:kern w:val="0"/>
          <w:sz w:val="44"/>
          <w:szCs w:val="44"/>
        </w:rPr>
        <w:t>宜兴市物业服务收费管理实施</w:t>
      </w:r>
      <w:r>
        <w:rPr>
          <w:rFonts w:hint="eastAsia" w:ascii="Times New Roman" w:hAnsi="Times New Roman" w:eastAsia="方正小标宋_GBK"/>
          <w:bCs/>
          <w:color w:val="000000"/>
          <w:kern w:val="0"/>
          <w:sz w:val="44"/>
          <w:szCs w:val="44"/>
          <w:lang w:eastAsia="zh-CN"/>
        </w:rPr>
        <w:t>办法</w:t>
      </w:r>
    </w:p>
    <w:p w14:paraId="69B827B9">
      <w:pPr>
        <w:widowControl/>
        <w:snapToGrid w:val="0"/>
        <w:spacing w:line="560" w:lineRule="exact"/>
        <w:ind w:firstLine="0" w:firstLineChars="0"/>
        <w:jc w:val="center"/>
        <w:rPr>
          <w:rFonts w:ascii="方正楷体_GBK" w:hAnsi="Times New Roman" w:eastAsia="方正楷体_GBK"/>
          <w:b/>
          <w:kern w:val="0"/>
          <w:sz w:val="44"/>
          <w:szCs w:val="44"/>
        </w:rPr>
      </w:pPr>
      <w:r>
        <w:rPr>
          <w:rFonts w:hint="eastAsia" w:ascii="方正楷体_GBK" w:hAnsi="Times New Roman" w:eastAsia="方正楷体_GBK"/>
          <w:b/>
          <w:kern w:val="0"/>
          <w:sz w:val="44"/>
          <w:szCs w:val="44"/>
        </w:rPr>
        <w:t>（征求意见稿）</w:t>
      </w:r>
    </w:p>
    <w:p w14:paraId="3E0709E7">
      <w:pPr>
        <w:widowControl/>
        <w:snapToGrid w:val="0"/>
        <w:spacing w:line="560" w:lineRule="exact"/>
        <w:ind w:firstLine="0" w:firstLineChars="0"/>
        <w:jc w:val="center"/>
        <w:rPr>
          <w:rFonts w:ascii="Times New Roman" w:hAnsi="Times New Roman" w:eastAsia="方正黑体_GBK"/>
          <w:bCs/>
          <w:color w:val="000000"/>
          <w:kern w:val="0"/>
          <w:sz w:val="32"/>
          <w:szCs w:val="32"/>
        </w:rPr>
      </w:pPr>
    </w:p>
    <w:p w14:paraId="79E24412">
      <w:pPr>
        <w:widowControl/>
        <w:snapToGrid w:val="0"/>
        <w:spacing w:line="560" w:lineRule="exact"/>
        <w:ind w:firstLine="0" w:firstLineChars="0"/>
        <w:jc w:val="center"/>
        <w:rPr>
          <w:rFonts w:ascii="方正黑体_GBK" w:hAnsi="Times New Roman" w:eastAsia="方正黑体_GBK"/>
          <w:bCs/>
          <w:color w:val="000000"/>
          <w:kern w:val="0"/>
          <w:sz w:val="32"/>
          <w:szCs w:val="32"/>
        </w:rPr>
      </w:pPr>
      <w:r>
        <w:rPr>
          <w:rFonts w:hint="eastAsia" w:ascii="方正黑体_GBK" w:hAnsi="Times New Roman" w:eastAsia="方正黑体_GBK"/>
          <w:bCs/>
          <w:color w:val="000000"/>
          <w:kern w:val="0"/>
          <w:sz w:val="32"/>
          <w:szCs w:val="32"/>
        </w:rPr>
        <w:t>第一章 总 则</w:t>
      </w:r>
    </w:p>
    <w:p w14:paraId="3C846535">
      <w:pPr>
        <w:widowControl/>
        <w:snapToGrid w:val="0"/>
        <w:spacing w:line="560" w:lineRule="exact"/>
        <w:ind w:firstLine="0" w:firstLineChars="0"/>
        <w:rPr>
          <w:rFonts w:ascii="Times New Roman" w:hAnsi="Times New Roman" w:eastAsia="方正黑体_GBK"/>
          <w:bCs/>
          <w:color w:val="000000"/>
          <w:kern w:val="0"/>
          <w:sz w:val="32"/>
          <w:szCs w:val="32"/>
        </w:rPr>
      </w:pPr>
    </w:p>
    <w:p w14:paraId="6C1E02F8">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方正黑体_GBK" w:hAnsi="Times New Roman" w:eastAsia="方正黑体_GBK"/>
          <w:bCs/>
          <w:color w:val="000000"/>
          <w:kern w:val="0"/>
          <w:sz w:val="32"/>
          <w:szCs w:val="32"/>
        </w:rPr>
        <w:t>第一条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为促进我市物业服务行业健康发展，规范物业服务收费行为，维护业主</w:t>
      </w:r>
      <w:r>
        <w:rPr>
          <w:rFonts w:ascii="Times New Roman" w:hAnsi="Times New Roman" w:eastAsia="方正仿宋_GBK"/>
          <w:kern w:val="0"/>
          <w:sz w:val="32"/>
          <w:szCs w:val="32"/>
        </w:rPr>
        <w:t>、物业使用人</w:t>
      </w:r>
      <w:r>
        <w:rPr>
          <w:rFonts w:ascii="Times New Roman" w:hAnsi="Times New Roman" w:eastAsia="方正仿宋_GBK"/>
          <w:color w:val="000000"/>
          <w:kern w:val="0"/>
          <w:sz w:val="32"/>
          <w:szCs w:val="32"/>
        </w:rPr>
        <w:t>和物业服务企业的合法权益，根据《中华人民共和国价格法》、《江苏省价格条例》、《江苏省物业管理条例》、《无锡市物业管理条例》、《江苏省物业服务收费管理办法》、《无锡市物业服务收费管理实施办法》等有关规定，结合我市实际，制定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w:t>
      </w:r>
    </w:p>
    <w:p w14:paraId="3DF646D2">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方正黑体_GBK" w:hAnsi="Times New Roman" w:eastAsia="方正黑体_GBK"/>
          <w:bCs/>
          <w:color w:val="000000"/>
          <w:kern w:val="0"/>
          <w:sz w:val="32"/>
          <w:szCs w:val="32"/>
        </w:rPr>
        <w:t>第二条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本实施办法适用于</w:t>
      </w:r>
      <w:r>
        <w:rPr>
          <w:rFonts w:hint="eastAsia" w:ascii="Times New Roman" w:hAnsi="Times New Roman" w:eastAsia="方正仿宋_GBK"/>
          <w:color w:val="000000"/>
          <w:kern w:val="0"/>
          <w:sz w:val="32"/>
          <w:szCs w:val="32"/>
        </w:rPr>
        <w:t>宜兴</w:t>
      </w:r>
      <w:r>
        <w:rPr>
          <w:rFonts w:ascii="Times New Roman" w:hAnsi="Times New Roman" w:eastAsia="方正仿宋_GBK"/>
          <w:color w:val="000000"/>
          <w:kern w:val="0"/>
          <w:sz w:val="32"/>
          <w:szCs w:val="32"/>
        </w:rPr>
        <w:t>市行政区域内物业服务收费行为。</w:t>
      </w:r>
    </w:p>
    <w:p w14:paraId="19F08EFF">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方正黑体_GBK" w:hAnsi="Times New Roman" w:eastAsia="方正黑体_GBK"/>
          <w:bCs/>
          <w:color w:val="000000"/>
          <w:kern w:val="0"/>
          <w:sz w:val="32"/>
          <w:szCs w:val="32"/>
        </w:rPr>
        <w:t>第三条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本实施办法所称物业服务收费，是指物业服务企业</w:t>
      </w:r>
      <w:r>
        <w:rPr>
          <w:rFonts w:ascii="Times New Roman" w:hAnsi="Times New Roman" w:eastAsia="方正仿宋_GBK"/>
          <w:kern w:val="0"/>
          <w:sz w:val="32"/>
          <w:szCs w:val="32"/>
        </w:rPr>
        <w:t>按照物业服务合同</w:t>
      </w:r>
      <w:r>
        <w:rPr>
          <w:rFonts w:ascii="Times New Roman" w:hAnsi="Times New Roman" w:eastAsia="方正仿宋_GBK"/>
          <w:color w:val="000000"/>
          <w:kern w:val="0"/>
          <w:sz w:val="32"/>
          <w:szCs w:val="32"/>
        </w:rPr>
        <w:t>对物业管理区域内的建筑物、构筑物及配套的设施设备和相关场地进行维修、养护、管理，维护相关区域内的环境卫生和秩序，向业主或物业使用人所收取的费用。</w:t>
      </w:r>
    </w:p>
    <w:p w14:paraId="32AADD0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物业服务费包括物业公共服务费、汽车停放费和其他服务项目的收费。</w:t>
      </w:r>
    </w:p>
    <w:p w14:paraId="7C8BEFA0">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四</w:t>
      </w:r>
      <w:r>
        <w:rPr>
          <w:rFonts w:ascii="Times New Roman" w:hAnsi="Times New Roman" w:eastAsia="方正黑体_GBK"/>
          <w:bCs/>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市价格主管部门会同市物业管理行政主管部门负责制定有关物业服务收费的政策规定，</w:t>
      </w:r>
      <w:r>
        <w:rPr>
          <w:rFonts w:hint="eastAsia" w:ascii="Times New Roman" w:hAnsi="Times New Roman" w:eastAsia="方正仿宋_GBK"/>
          <w:color w:val="000000"/>
          <w:kern w:val="0"/>
          <w:sz w:val="32"/>
          <w:szCs w:val="32"/>
        </w:rPr>
        <w:t>并按照各自管理权限指导、规范全市物业服务收费行为</w:t>
      </w:r>
      <w:r>
        <w:rPr>
          <w:rFonts w:ascii="Times New Roman" w:hAnsi="Times New Roman" w:eastAsia="方正仿宋_GBK"/>
          <w:color w:val="000000"/>
          <w:kern w:val="0"/>
          <w:sz w:val="32"/>
          <w:szCs w:val="32"/>
        </w:rPr>
        <w:t>。</w:t>
      </w:r>
    </w:p>
    <w:p w14:paraId="5BCF2944">
      <w:pPr>
        <w:widowControl/>
        <w:adjustRightInd w:val="0"/>
        <w:snapToGrid w:val="0"/>
        <w:spacing w:line="560" w:lineRule="exact"/>
        <w:ind w:firstLine="640"/>
        <w:rPr>
          <w:rFonts w:ascii="方正楷体_GBK" w:hAnsi="方正楷体_GBK" w:eastAsia="方正楷体_GBK" w:cs="方正楷体_GBK"/>
          <w:color w:val="auto"/>
          <w:kern w:val="0"/>
          <w:sz w:val="24"/>
          <w:szCs w:val="24"/>
        </w:rPr>
      </w:pPr>
      <w:r>
        <w:rPr>
          <w:rFonts w:ascii="Times New Roman" w:hAnsi="Times New Roman" w:eastAsia="方正仿宋_GBK"/>
          <w:color w:val="auto"/>
          <w:kern w:val="0"/>
          <w:sz w:val="32"/>
          <w:szCs w:val="32"/>
        </w:rPr>
        <w:t>各镇（街道、</w:t>
      </w:r>
      <w:r>
        <w:rPr>
          <w:rFonts w:hint="eastAsia" w:ascii="Times New Roman" w:hAnsi="Times New Roman" w:eastAsia="方正仿宋_GBK"/>
          <w:color w:val="auto"/>
          <w:kern w:val="0"/>
          <w:sz w:val="32"/>
          <w:szCs w:val="32"/>
          <w:lang w:eastAsia="zh-CN"/>
        </w:rPr>
        <w:t>开发区</w:t>
      </w:r>
      <w:r>
        <w:rPr>
          <w:rFonts w:ascii="Times New Roman" w:hAnsi="Times New Roman" w:eastAsia="方正仿宋_GBK"/>
          <w:color w:val="auto"/>
          <w:kern w:val="0"/>
          <w:sz w:val="32"/>
          <w:szCs w:val="32"/>
        </w:rPr>
        <w:t>）负责本辖区内物业服务收费的监督管理工作。</w:t>
      </w:r>
    </w:p>
    <w:p w14:paraId="12D8C86F">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五</w:t>
      </w:r>
      <w:r>
        <w:rPr>
          <w:rFonts w:ascii="Times New Roman" w:hAnsi="Times New Roman" w:eastAsia="方正黑体_GBK"/>
          <w:bCs/>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物业服务收费应当遵循合理、公开、质价相符的原则，区分不同物业的性质和特点，分别实行政府指导价和市场调节价。</w:t>
      </w:r>
    </w:p>
    <w:p w14:paraId="2F450C6F">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六</w:t>
      </w:r>
      <w:r>
        <w:rPr>
          <w:rFonts w:ascii="Times New Roman" w:hAnsi="Times New Roman" w:eastAsia="方正黑体_GBK"/>
          <w:bCs/>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业主大会成立前，普通住宅前期物业公共服务费、汽车停放费实行政府指导价。业主大会成立后，普通住宅物业公共服务费和汽车停放费实行市场调节价。</w:t>
      </w:r>
    </w:p>
    <w:p w14:paraId="061883E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车位租金实行政府指导价。</w:t>
      </w:r>
    </w:p>
    <w:p w14:paraId="45F8DB7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非普通住宅（认定标准见附件一）、非住宅、改变用途用于经营的普通住宅、业主采取自行管理或业主自行管理与委托专业机构相结合管理的普通住宅的物业服务收费实行市场调节价。</w:t>
      </w:r>
    </w:p>
    <w:p w14:paraId="1A26F595">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仿宋_GBK"/>
          <w:color w:val="000000"/>
          <w:kern w:val="0"/>
          <w:sz w:val="32"/>
          <w:szCs w:val="32"/>
        </w:rPr>
        <w:t>满足部分业主、物业使用人需要或者接受业主委托开展的特约服务费等其他物业服务项目收费，实行市场调节价。</w:t>
      </w:r>
    </w:p>
    <w:p w14:paraId="3B2EF5D2">
      <w:pPr>
        <w:shd w:val="solid" w:color="FFFFFF" w:fill="000000"/>
        <w:spacing w:line="600" w:lineRule="exact"/>
        <w:ind w:firstLine="640"/>
        <w:rPr>
          <w:rFonts w:ascii="方正仿宋_GBK" w:eastAsia="方正仿宋_GBK"/>
          <w:sz w:val="32"/>
          <w:szCs w:val="32"/>
          <w:shd w:val="clear" w:color="auto" w:fill="FFFFFF"/>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七</w:t>
      </w:r>
      <w:r>
        <w:rPr>
          <w:rFonts w:ascii="Times New Roman" w:hAnsi="Times New Roman" w:eastAsia="方正黑体_GBK"/>
          <w:bCs/>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实行市场调节价的物业服务收费标准在物业服务合同中约定或由业主、物业使用人、业主大会与物业服务企业根据服务内容、服务质量协商确定。</w:t>
      </w:r>
    </w:p>
    <w:p w14:paraId="60088B95">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p>
    <w:p w14:paraId="05A88A0C">
      <w:pPr>
        <w:widowControl/>
        <w:adjustRightInd w:val="0"/>
        <w:snapToGrid w:val="0"/>
        <w:spacing w:line="560" w:lineRule="exact"/>
        <w:ind w:firstLine="0" w:firstLineChars="0"/>
        <w:jc w:val="center"/>
        <w:rPr>
          <w:rFonts w:ascii="Times New Roman" w:hAnsi="Times New Roman" w:eastAsia="方正黑体_GBK"/>
          <w:kern w:val="0"/>
          <w:sz w:val="32"/>
          <w:szCs w:val="32"/>
        </w:rPr>
      </w:pPr>
      <w:r>
        <w:rPr>
          <w:rFonts w:ascii="Times New Roman" w:hAnsi="Times New Roman" w:eastAsia="方正黑体_GBK"/>
          <w:kern w:val="0"/>
          <w:sz w:val="32"/>
          <w:szCs w:val="32"/>
        </w:rPr>
        <w:t>第二章</w:t>
      </w:r>
      <w:r>
        <w:rPr>
          <w:rFonts w:hint="eastAsia" w:ascii="Times New Roman" w:hAnsi="Times New Roman" w:eastAsia="方正黑体_GBK"/>
          <w:kern w:val="0"/>
          <w:sz w:val="32"/>
          <w:szCs w:val="32"/>
        </w:rPr>
        <w:t xml:space="preserve"> </w:t>
      </w:r>
      <w:r>
        <w:rPr>
          <w:rFonts w:ascii="Times New Roman" w:hAnsi="Times New Roman" w:eastAsia="方正黑体_GBK"/>
          <w:kern w:val="0"/>
          <w:sz w:val="32"/>
          <w:szCs w:val="32"/>
        </w:rPr>
        <w:t>物业公共服务费</w:t>
      </w:r>
    </w:p>
    <w:p w14:paraId="3A97A1ED">
      <w:pPr>
        <w:adjustRightInd w:val="0"/>
        <w:snapToGrid w:val="0"/>
        <w:spacing w:line="560" w:lineRule="exact"/>
        <w:ind w:firstLine="640"/>
        <w:rPr>
          <w:rFonts w:ascii="Times New Roman" w:hAnsi="Times New Roman" w:eastAsia="方正黑体_GBK"/>
          <w:bCs/>
          <w:color w:val="000000"/>
          <w:kern w:val="0"/>
          <w:sz w:val="32"/>
          <w:szCs w:val="32"/>
        </w:rPr>
      </w:pPr>
    </w:p>
    <w:p w14:paraId="28549E78">
      <w:pPr>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八</w:t>
      </w:r>
      <w:r>
        <w:rPr>
          <w:rFonts w:ascii="Times New Roman" w:hAnsi="Times New Roman" w:eastAsia="方正黑体_GBK"/>
          <w:bCs/>
          <w:color w:val="000000"/>
          <w:kern w:val="0"/>
          <w:sz w:val="32"/>
          <w:szCs w:val="32"/>
        </w:rPr>
        <w:t>条</w:t>
      </w:r>
      <w:r>
        <w:rPr>
          <w:rFonts w:ascii="Times New Roman" w:hAnsi="Times New Roman" w:eastAsia="仿宋_GB2312"/>
          <w:b/>
          <w:color w:val="000000"/>
          <w:kern w:val="0"/>
          <w:sz w:val="32"/>
          <w:szCs w:val="32"/>
        </w:rPr>
        <w:t xml:space="preserve">  </w:t>
      </w:r>
      <w:r>
        <w:rPr>
          <w:rFonts w:ascii="Times New Roman" w:hAnsi="Times New Roman" w:eastAsia="方正仿宋_GBK"/>
          <w:color w:val="000000"/>
          <w:kern w:val="0"/>
          <w:sz w:val="32"/>
          <w:szCs w:val="32"/>
        </w:rPr>
        <w:t>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所称物业公共服务费，是指物业服务企业按照物业服务合同约定，在物业管理区域内向业主或物业使用人收取的提供具有公共性和普遍性的物业基本服务费用。</w:t>
      </w:r>
    </w:p>
    <w:p w14:paraId="09F89BEA">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w:t>
      </w:r>
      <w:r>
        <w:rPr>
          <w:rFonts w:hint="eastAsia" w:ascii="Times New Roman" w:hAnsi="Times New Roman" w:eastAsia="方正黑体_GBK"/>
          <w:bCs/>
          <w:color w:val="000000"/>
          <w:kern w:val="0"/>
          <w:sz w:val="32"/>
          <w:szCs w:val="32"/>
        </w:rPr>
        <w:t>九</w:t>
      </w:r>
      <w:r>
        <w:rPr>
          <w:rFonts w:ascii="Times New Roman" w:hAnsi="Times New Roman" w:eastAsia="方正黑体_GBK"/>
          <w:bCs/>
          <w:color w:val="000000"/>
          <w:kern w:val="0"/>
          <w:sz w:val="32"/>
          <w:szCs w:val="32"/>
        </w:rPr>
        <w:t xml:space="preserve">条  </w:t>
      </w:r>
      <w:r>
        <w:rPr>
          <w:rFonts w:ascii="Times New Roman" w:hAnsi="Times New Roman" w:eastAsia="方正仿宋_GBK"/>
          <w:color w:val="000000"/>
          <w:kern w:val="0"/>
          <w:sz w:val="32"/>
          <w:szCs w:val="32"/>
        </w:rPr>
        <w:t xml:space="preserve">物业公共服务费一般由下列因素构成： </w:t>
      </w:r>
    </w:p>
    <w:p w14:paraId="2E284E5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（一）物业管理服务人员工资、社会保险金、公积金和按规定提取的工会经费、职工教育经费等； </w:t>
      </w:r>
    </w:p>
    <w:p w14:paraId="1D982FEA">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（二）物业共用部位、共用设施设备日常维护保养费用； </w:t>
      </w:r>
    </w:p>
    <w:p w14:paraId="44D8B77D">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（三）清洁卫生费用； </w:t>
      </w:r>
    </w:p>
    <w:p w14:paraId="33B916A6">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（四）绿化养护费用； </w:t>
      </w:r>
    </w:p>
    <w:p w14:paraId="56092D88">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（五）秩序维护费用； </w:t>
      </w:r>
    </w:p>
    <w:p w14:paraId="0C68AECB">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（六）办公费用； </w:t>
      </w:r>
    </w:p>
    <w:p w14:paraId="4C951F8C">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（七）物业服务企业固定资产折旧； </w:t>
      </w:r>
    </w:p>
    <w:p w14:paraId="0A47500B">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（八）物业共用部位、共用设施设备及公众责任保险费用； </w:t>
      </w:r>
    </w:p>
    <w:p w14:paraId="6F7700D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（九）管理费分摊； </w:t>
      </w:r>
    </w:p>
    <w:p w14:paraId="3125AD6A">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（十）经业主大会同意的其它费用； </w:t>
      </w:r>
    </w:p>
    <w:p w14:paraId="7E82F4B0">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（十一）法定税费以及合理利润。 </w:t>
      </w:r>
    </w:p>
    <w:p w14:paraId="70F942E9">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仿宋_GBK"/>
          <w:color w:val="000000"/>
          <w:kern w:val="0"/>
          <w:sz w:val="32"/>
          <w:szCs w:val="32"/>
        </w:rPr>
        <w:t>应当由住宅专项维修资金支出的物业共用部位、共用设施设备的维修、更新和改造费用，不得计入物业服务成本或物业公共服务费支出。</w:t>
      </w:r>
    </w:p>
    <w:p w14:paraId="14683FE4">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黑体_GBK"/>
          <w:kern w:val="0"/>
          <w:sz w:val="32"/>
          <w:szCs w:val="32"/>
        </w:rPr>
        <w:t>第十条</w:t>
      </w:r>
      <w:r>
        <w:rPr>
          <w:rFonts w:ascii="Times New Roman" w:hAnsi="Times New Roman" w:eastAsia="仿宋_GB2312"/>
          <w:color w:val="1F497D" w:themeColor="text2"/>
          <w:kern w:val="0"/>
          <w:sz w:val="32"/>
          <w:szCs w:val="32"/>
          <w14:textFill>
            <w14:solidFill>
              <w14:schemeClr w14:val="tx2"/>
            </w14:solidFill>
          </w14:textFill>
        </w:rPr>
        <w:t xml:space="preserve">  </w:t>
      </w:r>
      <w:r>
        <w:rPr>
          <w:rFonts w:ascii="Times New Roman" w:hAnsi="Times New Roman" w:eastAsia="方正仿宋_GBK"/>
          <w:color w:val="000000"/>
          <w:kern w:val="0"/>
          <w:sz w:val="32"/>
          <w:szCs w:val="32"/>
        </w:rPr>
        <w:t>普通住宅前期物业公共服务费实行等级服务、等级收费。等级服务标准由市物业管理行政主管部门制定；等级收费标准由市价格主管部门制定。我市普通住宅前期物业等级服务标准、等级收费标准均按七级设置，具体标准详见附件二。</w:t>
      </w:r>
    </w:p>
    <w:p w14:paraId="09E741D4">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第十</w:t>
      </w:r>
      <w:r>
        <w:rPr>
          <w:rFonts w:hint="eastAsia" w:ascii="Times New Roman" w:hAnsi="Times New Roman" w:eastAsia="方正黑体_GBK"/>
          <w:bCs/>
          <w:color w:val="000000"/>
          <w:kern w:val="0"/>
          <w:sz w:val="32"/>
          <w:szCs w:val="32"/>
        </w:rPr>
        <w:t>一</w:t>
      </w:r>
      <w:r>
        <w:rPr>
          <w:rFonts w:ascii="Times New Roman" w:hAnsi="Times New Roman" w:eastAsia="方正黑体_GBK"/>
          <w:bCs/>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市价格主管部门应当会同市物业管理行政主管部门，综合考虑我市物业公共服务平均成本、最低工资标准、社会统筹基数及缴费比例、住房公积金缴存基数的调整幅度以及居民消费价格指数变动情况，每三年对物业公共服务等级及收费标准进行评估，并根据评估结果适时动态调整，向社会公布。</w:t>
      </w:r>
    </w:p>
    <w:p w14:paraId="7EA3FC68">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第十</w:t>
      </w:r>
      <w:r>
        <w:rPr>
          <w:rFonts w:hint="eastAsia" w:ascii="Times New Roman" w:hAnsi="Times New Roman" w:eastAsia="方正黑体_GBK"/>
          <w:kern w:val="0"/>
          <w:sz w:val="32"/>
          <w:szCs w:val="32"/>
        </w:rPr>
        <w:t>二</w:t>
      </w:r>
      <w:r>
        <w:rPr>
          <w:rFonts w:ascii="Times New Roman" w:hAnsi="Times New Roman" w:eastAsia="方正黑体_GBK"/>
          <w:kern w:val="0"/>
          <w:sz w:val="32"/>
          <w:szCs w:val="32"/>
        </w:rPr>
        <w:t xml:space="preserve">条  </w:t>
      </w:r>
      <w:r>
        <w:rPr>
          <w:rFonts w:hint="eastAsia" w:ascii="Times New Roman" w:hAnsi="Times New Roman" w:eastAsia="方正仿宋_GBK"/>
          <w:kern w:val="0"/>
          <w:sz w:val="32"/>
          <w:szCs w:val="32"/>
        </w:rPr>
        <w:t>在业主、业主大会选聘物业服务企业前</w:t>
      </w:r>
      <w:r>
        <w:rPr>
          <w:rFonts w:ascii="Times New Roman" w:hAnsi="Times New Roman" w:eastAsia="方正仿宋_GBK"/>
          <w:color w:val="000000"/>
          <w:kern w:val="0"/>
          <w:sz w:val="32"/>
          <w:szCs w:val="32"/>
        </w:rPr>
        <w:t>，建设单位应当通过公开招投标或协议方式选聘物业服务企业，在政府指导价范围内签订前期物业服务合同，并在房屋买卖合同中约定服务内容、服务等级、收费标准等。物业服务企业应当自</w:t>
      </w:r>
      <w:r>
        <w:rPr>
          <w:rFonts w:ascii="Times New Roman" w:hAnsi="Times New Roman" w:eastAsia="方正仿宋_GBK"/>
          <w:kern w:val="0"/>
          <w:sz w:val="32"/>
          <w:szCs w:val="32"/>
        </w:rPr>
        <w:t>前期物业服务合同</w:t>
      </w:r>
      <w:r>
        <w:rPr>
          <w:rFonts w:ascii="Times New Roman" w:hAnsi="Times New Roman" w:eastAsia="方正仿宋_GBK"/>
          <w:color w:val="000000"/>
          <w:kern w:val="0"/>
          <w:sz w:val="32"/>
          <w:szCs w:val="32"/>
        </w:rPr>
        <w:t>签订之日起三十日内</w:t>
      </w:r>
      <w:r>
        <w:rPr>
          <w:rFonts w:hint="eastAsia" w:ascii="Times New Roman" w:hAnsi="Times New Roman" w:eastAsia="方正仿宋_GBK"/>
          <w:color w:val="000000"/>
          <w:kern w:val="0"/>
          <w:sz w:val="32"/>
          <w:szCs w:val="32"/>
        </w:rPr>
        <w:t>至市</w:t>
      </w:r>
      <w:r>
        <w:rPr>
          <w:rFonts w:ascii="Times New Roman" w:hAnsi="Times New Roman" w:eastAsia="方正仿宋_GBK"/>
          <w:color w:val="000000"/>
          <w:kern w:val="0"/>
          <w:sz w:val="32"/>
          <w:szCs w:val="32"/>
        </w:rPr>
        <w:t>物业管理行政主管部门和市价格主管部门备案。</w:t>
      </w:r>
    </w:p>
    <w:p w14:paraId="4A7AB522">
      <w:pPr>
        <w:widowControl/>
        <w:adjustRightInd w:val="0"/>
        <w:snapToGrid w:val="0"/>
        <w:spacing w:line="560" w:lineRule="exact"/>
        <w:ind w:firstLine="640"/>
        <w:rPr>
          <w:rFonts w:ascii="Times New Roman" w:hAnsi="Times New Roman" w:eastAsia="方正仿宋_GBK"/>
          <w:kern w:val="0"/>
          <w:sz w:val="32"/>
          <w:szCs w:val="32"/>
        </w:rPr>
      </w:pPr>
      <w:r>
        <w:rPr>
          <w:rFonts w:ascii="Times New Roman" w:hAnsi="Times New Roman" w:eastAsia="方正仿宋_GBK"/>
          <w:color w:val="000000"/>
          <w:kern w:val="0"/>
          <w:sz w:val="32"/>
          <w:szCs w:val="32"/>
        </w:rPr>
        <w:t>建设单位与物业买受人签订的房屋买卖合同，应包含前期物业服务合同约定的内容。前期物业服务费未在房屋买卖合同中约定的或约定不明确的，由建设单位承担。普通住宅前期物业服务期间，变换物业服务企业的，实行政府指导价管理的物业服务收费应按规定程序重新</w:t>
      </w:r>
      <w:r>
        <w:rPr>
          <w:rFonts w:ascii="Times New Roman" w:hAnsi="Times New Roman" w:eastAsia="方正仿宋_GBK"/>
          <w:kern w:val="0"/>
          <w:sz w:val="32"/>
          <w:szCs w:val="32"/>
        </w:rPr>
        <w:t>确定</w:t>
      </w:r>
      <w:r>
        <w:rPr>
          <w:rFonts w:hint="eastAsia" w:ascii="Times New Roman" w:hAnsi="Times New Roman" w:eastAsia="方正仿宋_GBK"/>
          <w:kern w:val="0"/>
          <w:sz w:val="32"/>
          <w:szCs w:val="32"/>
        </w:rPr>
        <w:t>并备案</w:t>
      </w:r>
      <w:r>
        <w:rPr>
          <w:rFonts w:ascii="Times New Roman" w:hAnsi="Times New Roman" w:eastAsia="方正仿宋_GBK"/>
          <w:kern w:val="0"/>
          <w:sz w:val="32"/>
          <w:szCs w:val="32"/>
        </w:rPr>
        <w:t xml:space="preserve">。 </w:t>
      </w:r>
    </w:p>
    <w:p w14:paraId="0BE793C6">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第十</w:t>
      </w:r>
      <w:r>
        <w:rPr>
          <w:rFonts w:hint="eastAsia" w:ascii="Times New Roman" w:hAnsi="Times New Roman" w:eastAsia="方正黑体_GBK"/>
          <w:color w:val="000000"/>
          <w:kern w:val="0"/>
          <w:sz w:val="32"/>
          <w:szCs w:val="32"/>
        </w:rPr>
        <w:t>三</w:t>
      </w:r>
      <w:r>
        <w:rPr>
          <w:rFonts w:ascii="Times New Roman" w:hAnsi="Times New Roman" w:eastAsia="方正黑体_GBK"/>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物业服务企业报备实行政府指导价的普通住宅前期物业公共服务收费标准，应向价格主管部门提供以下书面材料：</w:t>
      </w:r>
    </w:p>
    <w:p w14:paraId="535B49BD">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（一）前期物业公共服务收费备案申请； </w:t>
      </w:r>
    </w:p>
    <w:p w14:paraId="6729898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（二）物业服务企业营业执照</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 xml:space="preserve">  </w:t>
      </w:r>
    </w:p>
    <w:p w14:paraId="05D48CB1">
      <w:pPr>
        <w:widowControl/>
        <w:adjustRightInd w:val="0"/>
        <w:snapToGrid w:val="0"/>
        <w:spacing w:line="560" w:lineRule="exact"/>
        <w:ind w:firstLine="640"/>
        <w:rPr>
          <w:rFonts w:ascii="方正楷体_GBK" w:hAnsi="方正楷体_GBK" w:eastAsia="方正楷体_GBK" w:cs="方正楷体_GBK"/>
          <w:color w:val="000000"/>
          <w:kern w:val="0"/>
          <w:sz w:val="24"/>
          <w:szCs w:val="24"/>
          <w:highlight w:val="lightGray"/>
        </w:rPr>
      </w:pPr>
      <w:r>
        <w:rPr>
          <w:rFonts w:ascii="Times New Roman" w:hAnsi="Times New Roman" w:eastAsia="方正仿宋_GBK"/>
          <w:color w:val="000000"/>
          <w:kern w:val="0"/>
          <w:sz w:val="32"/>
          <w:szCs w:val="32"/>
        </w:rPr>
        <w:t>（三）前期物业公共服务合同、住宅区规划许可证及附件、公建配套文件；</w:t>
      </w:r>
    </w:p>
    <w:p w14:paraId="1ECBF54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（四）住宅区前期物业公共服务成本费用测算材料； </w:t>
      </w:r>
    </w:p>
    <w:p w14:paraId="3CBC50E8">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（五）住宅区前期物业公共服务收费报备登记表（详见附件</w:t>
      </w:r>
      <w:r>
        <w:rPr>
          <w:rFonts w:hint="eastAsia" w:ascii="Times New Roman" w:hAnsi="Times New Roman" w:eastAsia="方正仿宋_GBK"/>
          <w:color w:val="000000"/>
          <w:kern w:val="0"/>
          <w:sz w:val="32"/>
          <w:szCs w:val="32"/>
        </w:rPr>
        <w:t>三</w:t>
      </w:r>
      <w:r>
        <w:rPr>
          <w:rFonts w:ascii="Times New Roman" w:hAnsi="Times New Roman" w:eastAsia="方正仿宋_GBK"/>
          <w:color w:val="000000"/>
          <w:kern w:val="0"/>
          <w:sz w:val="32"/>
          <w:szCs w:val="32"/>
        </w:rPr>
        <w:t xml:space="preserve">）； </w:t>
      </w:r>
    </w:p>
    <w:p w14:paraId="08F40C85">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（六）中标通知书、投标书原件或物业管理行政主管部门证明等有关资料； </w:t>
      </w:r>
    </w:p>
    <w:p w14:paraId="2963C26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（七）其他应当提供的相关材料</w:t>
      </w:r>
      <w:r>
        <w:rPr>
          <w:rFonts w:hint="eastAsia" w:ascii="Times New Roman" w:hAnsi="Times New Roman" w:eastAsia="方正仿宋_GBK"/>
          <w:color w:val="000000"/>
          <w:kern w:val="0"/>
          <w:sz w:val="32"/>
          <w:szCs w:val="32"/>
        </w:rPr>
        <w:t>。</w:t>
      </w:r>
    </w:p>
    <w:p w14:paraId="461B5C92">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第十</w:t>
      </w:r>
      <w:r>
        <w:rPr>
          <w:rFonts w:hint="eastAsia" w:ascii="Times New Roman" w:hAnsi="Times New Roman" w:eastAsia="方正黑体_GBK"/>
          <w:bCs/>
          <w:color w:val="000000"/>
          <w:kern w:val="0"/>
          <w:sz w:val="32"/>
          <w:szCs w:val="32"/>
        </w:rPr>
        <w:t>四</w:t>
      </w:r>
      <w:r>
        <w:rPr>
          <w:rFonts w:ascii="Times New Roman" w:hAnsi="Times New Roman" w:eastAsia="方正黑体_GBK"/>
          <w:bCs/>
          <w:color w:val="000000"/>
          <w:kern w:val="0"/>
          <w:sz w:val="32"/>
          <w:szCs w:val="32"/>
        </w:rPr>
        <w:t>条</w:t>
      </w:r>
      <w:r>
        <w:rPr>
          <w:rFonts w:ascii="Times New Roman" w:hAnsi="Times New Roman" w:eastAsia="仿宋_GB2312"/>
          <w:b/>
          <w:color w:val="000000"/>
          <w:kern w:val="0"/>
          <w:sz w:val="32"/>
          <w:szCs w:val="32"/>
        </w:rPr>
        <w:t xml:space="preserve">  </w:t>
      </w:r>
      <w:r>
        <w:rPr>
          <w:rFonts w:ascii="Times New Roman" w:hAnsi="Times New Roman" w:eastAsia="方正仿宋_GBK"/>
          <w:color w:val="000000"/>
          <w:kern w:val="0"/>
          <w:sz w:val="32"/>
          <w:szCs w:val="32"/>
        </w:rPr>
        <w:t>业主大会成立前，</w:t>
      </w:r>
      <w:r>
        <w:rPr>
          <w:rFonts w:hint="eastAsia" w:ascii="Times New Roman" w:hAnsi="Times New Roman" w:eastAsia="方正仿宋_GBK"/>
          <w:color w:val="000000"/>
          <w:kern w:val="0"/>
          <w:sz w:val="32"/>
          <w:szCs w:val="32"/>
        </w:rPr>
        <w:t>普通住宅</w:t>
      </w:r>
      <w:r>
        <w:rPr>
          <w:rFonts w:ascii="Times New Roman" w:hAnsi="Times New Roman" w:eastAsia="方正仿宋_GBK"/>
          <w:color w:val="000000"/>
          <w:kern w:val="0"/>
          <w:sz w:val="32"/>
          <w:szCs w:val="32"/>
        </w:rPr>
        <w:t>前期物业公共服务费标准因服务成本变化需要调整，或政府制定的等级服务收费标准调整的，物业服务企业应在街道办事处、园区管委会、镇人民政府组织、指导与监督下，提供公开真实、完整有效的物业服务成本信息，向业主征询意见，</w:t>
      </w:r>
      <w:r>
        <w:rPr>
          <w:rFonts w:hint="eastAsia" w:ascii="Times New Roman" w:hAnsi="Times New Roman" w:eastAsia="方正仿宋_GBK"/>
          <w:kern w:val="0"/>
          <w:sz w:val="32"/>
          <w:szCs w:val="32"/>
        </w:rPr>
        <w:t>经专有部分面积占比三分之二以上的业主且人数占比三分之二以上的业主参与表决，经参与表决专有部分面积过半数的业主且参与表决人数过半数的业主同意后</w:t>
      </w:r>
      <w:r>
        <w:rPr>
          <w:rFonts w:ascii="Times New Roman" w:hAnsi="Times New Roman" w:eastAsia="方正仿宋_GBK"/>
          <w:kern w:val="0"/>
          <w:sz w:val="32"/>
          <w:szCs w:val="32"/>
        </w:rPr>
        <w:t>，形成业主共同决定，</w:t>
      </w:r>
      <w:r>
        <w:rPr>
          <w:rFonts w:ascii="Times New Roman" w:hAnsi="Times New Roman" w:eastAsia="方正仿宋_GBK"/>
          <w:color w:val="000000"/>
          <w:kern w:val="0"/>
          <w:sz w:val="32"/>
          <w:szCs w:val="32"/>
        </w:rPr>
        <w:t>在等级服务收费标准范围内实施调整并备案后按约定执行</w:t>
      </w:r>
      <w:r>
        <w:rPr>
          <w:rFonts w:hint="eastAsia" w:ascii="Times New Roman" w:hAnsi="Times New Roman" w:eastAsia="方正仿宋_GBK"/>
          <w:color w:val="000000"/>
          <w:kern w:val="0"/>
          <w:sz w:val="32"/>
          <w:szCs w:val="32"/>
        </w:rPr>
        <w:t>。</w:t>
      </w:r>
    </w:p>
    <w:p w14:paraId="7BE6869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第十</w:t>
      </w:r>
      <w:r>
        <w:rPr>
          <w:rFonts w:hint="eastAsia" w:ascii="Times New Roman" w:hAnsi="Times New Roman" w:eastAsia="方正黑体_GBK"/>
          <w:bCs/>
          <w:color w:val="000000"/>
          <w:kern w:val="0"/>
          <w:sz w:val="32"/>
          <w:szCs w:val="32"/>
        </w:rPr>
        <w:t>五</w:t>
      </w:r>
      <w:r>
        <w:rPr>
          <w:rFonts w:ascii="Times New Roman" w:hAnsi="Times New Roman" w:eastAsia="方正黑体_GBK"/>
          <w:bCs/>
          <w:color w:val="000000"/>
          <w:kern w:val="0"/>
          <w:sz w:val="32"/>
          <w:szCs w:val="32"/>
        </w:rPr>
        <w:t>条</w:t>
      </w:r>
      <w:r>
        <w:rPr>
          <w:rFonts w:ascii="Times New Roman" w:hAnsi="Times New Roman" w:eastAsia="仿宋_GB2312"/>
          <w:b/>
          <w:color w:val="000000"/>
          <w:kern w:val="0"/>
          <w:sz w:val="32"/>
          <w:szCs w:val="32"/>
        </w:rPr>
        <w:t xml:space="preserve">  </w:t>
      </w:r>
      <w:r>
        <w:rPr>
          <w:rFonts w:ascii="Times New Roman" w:hAnsi="Times New Roman" w:eastAsia="方正仿宋_GBK"/>
          <w:color w:val="000000"/>
          <w:kern w:val="0"/>
          <w:sz w:val="32"/>
          <w:szCs w:val="32"/>
        </w:rPr>
        <w:t>物业公共服务费按房屋建筑面积计收。已办理不动产登记的，按照登记的房屋建筑面积计收；尚未进行登记的， 按照测绘机构的实测建筑面积计收；尚未进行实测的，按照房屋买卖合同记载的面积计收。</w:t>
      </w:r>
    </w:p>
    <w:p w14:paraId="49D3457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未计入产权面积的附属房屋面积不作为计费面积。依法改变设计用途的附属房屋物业公共服务费，由物业服务企业与业主或者物业使用人按照约定标准计收。</w:t>
      </w:r>
    </w:p>
    <w:p w14:paraId="20249F9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第十</w:t>
      </w:r>
      <w:r>
        <w:rPr>
          <w:rFonts w:hint="eastAsia" w:ascii="Times New Roman" w:hAnsi="Times New Roman" w:eastAsia="方正黑体_GBK"/>
          <w:color w:val="000000"/>
          <w:kern w:val="0"/>
          <w:sz w:val="32"/>
          <w:szCs w:val="32"/>
        </w:rPr>
        <w:t>六</w:t>
      </w:r>
      <w:r>
        <w:rPr>
          <w:rFonts w:ascii="Times New Roman" w:hAnsi="Times New Roman" w:eastAsia="方正黑体_GBK"/>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 xml:space="preserve"> 业主应当按照房屋买卖合同（符合竣工验收条件）、入住通知书约定的房屋交付日期的次月1日起按月交纳物业公共服务费用。已竣工但尚未售出或者因建设单位原因未按时交付业主的，物业公共服务费用由建设</w:t>
      </w:r>
      <w:r>
        <w:rPr>
          <w:rFonts w:ascii="Times New Roman" w:hAnsi="Times New Roman" w:eastAsia="方正仿宋_GBK"/>
          <w:color w:val="auto"/>
          <w:kern w:val="0"/>
          <w:sz w:val="32"/>
          <w:szCs w:val="32"/>
        </w:rPr>
        <w:t>单位全额承担。</w:t>
      </w:r>
    </w:p>
    <w:p w14:paraId="6F5E7D99">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仿宋_GBK"/>
          <w:color w:val="000000"/>
          <w:kern w:val="0"/>
          <w:sz w:val="32"/>
          <w:szCs w:val="32"/>
        </w:rPr>
        <w:t>因业主原因未及时办理入住手续或办理入住手续后未入住或未使用的住宅物业，业主应事前向物业服务企业书面告知，并经确认后按规定标准的70%交纳物业公共服务费，减免期限最长为24个月。业主大会成立后，由业主大会与物业服务企业约定。</w:t>
      </w:r>
    </w:p>
    <w:p w14:paraId="3F7C8C1C">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第十</w:t>
      </w:r>
      <w:r>
        <w:rPr>
          <w:rFonts w:hint="eastAsia" w:ascii="Times New Roman" w:hAnsi="Times New Roman" w:eastAsia="方正黑体_GBK"/>
          <w:bCs/>
          <w:color w:val="000000"/>
          <w:kern w:val="0"/>
          <w:sz w:val="32"/>
          <w:szCs w:val="32"/>
        </w:rPr>
        <w:t>七</w:t>
      </w:r>
      <w:r>
        <w:rPr>
          <w:rFonts w:ascii="Times New Roman" w:hAnsi="Times New Roman" w:eastAsia="方正黑体_GBK"/>
          <w:bCs/>
          <w:color w:val="000000"/>
          <w:kern w:val="0"/>
          <w:sz w:val="32"/>
          <w:szCs w:val="32"/>
        </w:rPr>
        <w:t>条</w:t>
      </w:r>
      <w:r>
        <w:rPr>
          <w:rFonts w:ascii="Times New Roman" w:hAnsi="Times New Roman" w:eastAsia="仿宋_GB2312"/>
          <w:b/>
          <w:color w:val="000000"/>
          <w:kern w:val="0"/>
          <w:sz w:val="32"/>
          <w:szCs w:val="32"/>
        </w:rPr>
        <w:t xml:space="preserve"> </w:t>
      </w:r>
      <w:r>
        <w:rPr>
          <w:rFonts w:ascii="Times New Roman" w:hAnsi="Times New Roman" w:eastAsia="方正仿宋_GBK"/>
          <w:color w:val="000000"/>
          <w:kern w:val="0"/>
          <w:sz w:val="32"/>
          <w:szCs w:val="32"/>
        </w:rPr>
        <w:t xml:space="preserve"> 住宅物业管理区域内共用设施设备运行、维护管理、保洁、绿化等物业服务过程中的用水、用电、用气价格按照居民使用的价格标准执行，但洗车、餐饮等经营性用水、用电、用气除外。 </w:t>
      </w:r>
    </w:p>
    <w:p w14:paraId="20939DCB">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物业管理区域内共用设施设备一般包括电梯、天线、消防设施、楼道照明、路灯、道路、绿地、水泵、电子对讲门设施、非经营性车场车库、非经营性电瓶车充电设施、监控安防设施、公益性文体设施、物业服务用房和共用设施设备使用的房屋等。</w:t>
      </w:r>
    </w:p>
    <w:p w14:paraId="32E9B2BD">
      <w:pPr>
        <w:widowControl/>
        <w:adjustRightInd w:val="0"/>
        <w:snapToGrid w:val="0"/>
        <w:spacing w:line="560" w:lineRule="exact"/>
        <w:ind w:firstLine="0" w:firstLineChars="0"/>
        <w:jc w:val="center"/>
        <w:rPr>
          <w:rFonts w:ascii="Times New Roman" w:hAnsi="Times New Roman" w:eastAsia="方正黑体_GBK"/>
          <w:color w:val="000000"/>
          <w:kern w:val="0"/>
          <w:sz w:val="32"/>
          <w:szCs w:val="32"/>
        </w:rPr>
      </w:pPr>
    </w:p>
    <w:p w14:paraId="6502A876">
      <w:pPr>
        <w:widowControl/>
        <w:adjustRightInd w:val="0"/>
        <w:snapToGrid w:val="0"/>
        <w:spacing w:line="560" w:lineRule="exact"/>
        <w:ind w:firstLine="0" w:firstLineChars="0"/>
        <w:jc w:val="center"/>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第三章 汽车停放费和车位租金</w:t>
      </w:r>
    </w:p>
    <w:p w14:paraId="0DAC2F54">
      <w:pPr>
        <w:widowControl/>
        <w:adjustRightInd w:val="0"/>
        <w:snapToGrid w:val="0"/>
        <w:spacing w:line="560" w:lineRule="exact"/>
        <w:ind w:firstLine="640"/>
        <w:rPr>
          <w:rFonts w:ascii="Times New Roman" w:hAnsi="Times New Roman" w:eastAsia="方正仿宋_GBK"/>
          <w:color w:val="000000"/>
          <w:kern w:val="0"/>
          <w:sz w:val="32"/>
          <w:szCs w:val="32"/>
        </w:rPr>
      </w:pPr>
    </w:p>
    <w:p w14:paraId="06BD7DEB">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第十</w:t>
      </w:r>
      <w:r>
        <w:rPr>
          <w:rFonts w:hint="eastAsia" w:ascii="Times New Roman" w:hAnsi="Times New Roman" w:eastAsia="方正黑体_GBK"/>
          <w:bCs/>
          <w:color w:val="000000"/>
          <w:kern w:val="0"/>
          <w:sz w:val="32"/>
          <w:szCs w:val="32"/>
        </w:rPr>
        <w:t>八</w:t>
      </w:r>
      <w:r>
        <w:rPr>
          <w:rFonts w:ascii="Times New Roman" w:hAnsi="Times New Roman" w:eastAsia="方正黑体_GBK"/>
          <w:bCs/>
          <w:color w:val="000000"/>
          <w:kern w:val="0"/>
          <w:sz w:val="32"/>
          <w:szCs w:val="32"/>
        </w:rPr>
        <w:t>条</w:t>
      </w:r>
      <w:r>
        <w:rPr>
          <w:rFonts w:ascii="Times New Roman" w:hAnsi="Times New Roman" w:eastAsia="仿宋_GB2312"/>
          <w:bCs/>
          <w:color w:val="000000"/>
          <w:kern w:val="0"/>
          <w:sz w:val="32"/>
          <w:szCs w:val="32"/>
        </w:rPr>
        <w:t xml:space="preserve">  </w:t>
      </w:r>
      <w:r>
        <w:rPr>
          <w:rFonts w:ascii="Times New Roman" w:hAnsi="Times New Roman" w:eastAsia="方正仿宋_GBK"/>
          <w:color w:val="000000"/>
          <w:kern w:val="0"/>
          <w:sz w:val="32"/>
          <w:szCs w:val="32"/>
        </w:rPr>
        <w:t>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所称汽车停放费，是指物业管理区域内用于车位、车库的公共设施设备运行的能耗及维护、保洁、秩序维护、管理服务人员费用以及法定税费等费用</w:t>
      </w:r>
      <w:r>
        <w:rPr>
          <w:rFonts w:hint="eastAsia" w:ascii="Times New Roman" w:hAnsi="Times New Roman" w:eastAsia="方正仿宋_GBK"/>
          <w:color w:val="000000"/>
          <w:kern w:val="0"/>
          <w:sz w:val="32"/>
          <w:szCs w:val="32"/>
        </w:rPr>
        <w:t>。</w:t>
      </w:r>
    </w:p>
    <w:p w14:paraId="7D4AB104">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所称车位租金是车位所有权人或管理者将车位采取租赁方式，出租给使用人的费用。</w:t>
      </w:r>
    </w:p>
    <w:p w14:paraId="346694A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w:t>
      </w:r>
      <w:r>
        <w:rPr>
          <w:rFonts w:hint="eastAsia" w:ascii="Times New Roman" w:hAnsi="Times New Roman" w:eastAsia="方正黑体_GBK"/>
          <w:color w:val="000000"/>
          <w:kern w:val="0"/>
          <w:sz w:val="32"/>
          <w:szCs w:val="32"/>
        </w:rPr>
        <w:t>十九</w:t>
      </w:r>
      <w:r>
        <w:rPr>
          <w:rFonts w:ascii="Times New Roman" w:hAnsi="Times New Roman" w:eastAsia="方正黑体_GBK"/>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汽车停放费与车位租金标准：</w:t>
      </w:r>
    </w:p>
    <w:p w14:paraId="21C9788E">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spacing w:val="0"/>
          <w:kern w:val="0"/>
          <w:sz w:val="32"/>
          <w:szCs w:val="32"/>
          <w:fitText w:val="960" w:id="-890609407"/>
        </w:rPr>
        <w:t>（一）</w:t>
      </w:r>
      <w:r>
        <w:rPr>
          <w:rFonts w:ascii="Times New Roman" w:hAnsi="Times New Roman" w:eastAsia="方正仿宋_GBK"/>
          <w:color w:val="000000"/>
          <w:kern w:val="0"/>
          <w:sz w:val="32"/>
          <w:szCs w:val="32"/>
        </w:rPr>
        <w:t>业主专有室内车库，免收汽车停放费；</w:t>
      </w:r>
    </w:p>
    <w:p w14:paraId="6FF17F9E">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spacing w:val="0"/>
          <w:kern w:val="0"/>
          <w:sz w:val="32"/>
          <w:szCs w:val="32"/>
          <w:fitText w:val="960" w:id="-890609406"/>
        </w:rPr>
        <w:t>（二）</w:t>
      </w:r>
      <w:r>
        <w:rPr>
          <w:rFonts w:ascii="Times New Roman" w:hAnsi="Times New Roman" w:eastAsia="方正仿宋_GBK"/>
          <w:color w:val="000000"/>
          <w:kern w:val="0"/>
          <w:sz w:val="32"/>
          <w:szCs w:val="32"/>
        </w:rPr>
        <w:t>业主专有室内车位，物业服务企业可收取每月每车位50元的汽车停放费；</w:t>
      </w:r>
    </w:p>
    <w:p w14:paraId="7D5400C2">
      <w:pPr>
        <w:widowControl/>
        <w:adjustRightInd w:val="0"/>
        <w:snapToGrid w:val="0"/>
        <w:spacing w:line="560" w:lineRule="exact"/>
        <w:ind w:firstLine="640"/>
        <w:rPr>
          <w:rFonts w:ascii="Times New Roman" w:hAnsi="Times New Roman" w:eastAsia="方正仿宋_GBK"/>
          <w:color w:val="auto"/>
          <w:kern w:val="0"/>
          <w:sz w:val="32"/>
          <w:szCs w:val="32"/>
          <w:highlight w:val="lightGray"/>
        </w:rPr>
      </w:pPr>
      <w:r>
        <w:rPr>
          <w:rFonts w:ascii="Times New Roman" w:hAnsi="Times New Roman" w:eastAsia="方正仿宋_GBK"/>
          <w:color w:val="000000"/>
          <w:kern w:val="0"/>
          <w:sz w:val="32"/>
          <w:szCs w:val="32"/>
        </w:rPr>
        <w:t>（三）建设单位专有室内车位，委托物业服务企业管理的，建设单位可收取每月每车位250元的车位租金，物业服务企业可收取每月每</w:t>
      </w:r>
      <w:r>
        <w:rPr>
          <w:rFonts w:ascii="Times New Roman" w:hAnsi="Times New Roman" w:eastAsia="方正仿宋_GBK"/>
          <w:color w:val="auto"/>
          <w:kern w:val="0"/>
          <w:sz w:val="32"/>
          <w:szCs w:val="32"/>
        </w:rPr>
        <w:t>车位50元的汽车停放费；</w:t>
      </w:r>
    </w:p>
    <w:p w14:paraId="1302EEB6">
      <w:pPr>
        <w:widowControl/>
        <w:adjustRightInd w:val="0"/>
        <w:snapToGrid w:val="0"/>
        <w:spacing w:line="560" w:lineRule="exact"/>
        <w:ind w:firstLine="640"/>
        <w:rPr>
          <w:rFonts w:ascii="Times New Roman" w:hAnsi="Times New Roman" w:eastAsia="方正仿宋_GBK"/>
          <w:color w:val="000000"/>
          <w:kern w:val="0"/>
          <w:sz w:val="32"/>
          <w:szCs w:val="32"/>
          <w:highlight w:val="lightGray"/>
        </w:rPr>
      </w:pPr>
      <w:r>
        <w:rPr>
          <w:rFonts w:ascii="Times New Roman" w:hAnsi="Times New Roman" w:eastAsia="方正仿宋_GBK"/>
          <w:color w:val="auto"/>
          <w:kern w:val="0"/>
          <w:sz w:val="32"/>
          <w:szCs w:val="32"/>
        </w:rPr>
        <w:t>（四）人防工程室内车位，物业服务企业可按每月每车位</w:t>
      </w:r>
      <w:r>
        <w:rPr>
          <w:rFonts w:hint="eastAsia" w:ascii="Times New Roman" w:hAnsi="Times New Roman" w:eastAsia="方正仿宋_GBK"/>
          <w:color w:val="auto"/>
          <w:kern w:val="0"/>
          <w:sz w:val="32"/>
          <w:szCs w:val="32"/>
          <w:lang w:val="en-US" w:eastAsia="zh-CN"/>
        </w:rPr>
        <w:t>1</w:t>
      </w:r>
      <w:r>
        <w:rPr>
          <w:rFonts w:hint="eastAsia" w:ascii="Times New Roman" w:hAnsi="Times New Roman" w:eastAsia="方正仿宋_GBK"/>
          <w:color w:val="auto"/>
          <w:kern w:val="0"/>
          <w:sz w:val="32"/>
          <w:szCs w:val="32"/>
        </w:rPr>
        <w:t>5</w:t>
      </w:r>
      <w:r>
        <w:rPr>
          <w:rFonts w:ascii="Times New Roman" w:hAnsi="Times New Roman" w:eastAsia="方正仿宋_GBK"/>
          <w:color w:val="auto"/>
          <w:kern w:val="0"/>
          <w:sz w:val="32"/>
          <w:szCs w:val="32"/>
        </w:rPr>
        <w:t>0元收取车位租金，用于该人防工程设施</w:t>
      </w:r>
      <w:r>
        <w:rPr>
          <w:rFonts w:ascii="Times New Roman" w:hAnsi="Times New Roman" w:eastAsia="方正仿宋_GBK"/>
          <w:color w:val="000000"/>
          <w:kern w:val="0"/>
          <w:sz w:val="32"/>
          <w:szCs w:val="32"/>
        </w:rPr>
        <w:t>的维护管理</w:t>
      </w:r>
      <w:r>
        <w:rPr>
          <w:rFonts w:hint="eastAsia" w:ascii="Times New Roman" w:hAnsi="Times New Roman" w:eastAsia="方正仿宋_GBK"/>
          <w:color w:val="000000"/>
          <w:kern w:val="0"/>
          <w:sz w:val="32"/>
          <w:szCs w:val="32"/>
          <w:lang w:eastAsia="zh-CN"/>
        </w:rPr>
        <w:t>。</w:t>
      </w:r>
      <w:r>
        <w:rPr>
          <w:rFonts w:ascii="Times New Roman" w:hAnsi="Times New Roman" w:eastAsia="方正仿宋_GBK"/>
          <w:color w:val="auto"/>
          <w:kern w:val="0"/>
          <w:sz w:val="32"/>
          <w:szCs w:val="32"/>
        </w:rPr>
        <w:t>物业服务企业可收取每月每车位50元的汽车停放费</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用于</w:t>
      </w:r>
      <w:r>
        <w:rPr>
          <w:rFonts w:ascii="Times New Roman" w:hAnsi="Times New Roman" w:eastAsia="方正仿宋_GBK"/>
          <w:color w:val="000000"/>
          <w:kern w:val="0"/>
          <w:sz w:val="32"/>
          <w:szCs w:val="32"/>
        </w:rPr>
        <w:t>停车管理的必要支出；</w:t>
      </w:r>
    </w:p>
    <w:p w14:paraId="57841DD8">
      <w:pPr>
        <w:widowControl/>
        <w:adjustRightInd w:val="0"/>
        <w:snapToGrid w:val="0"/>
        <w:spacing w:line="560" w:lineRule="exact"/>
        <w:ind w:firstLine="640"/>
        <w:rPr>
          <w:rFonts w:ascii="Times New Roman" w:hAnsi="Times New Roman" w:eastAsia="方正仿宋_GBK"/>
          <w:color w:val="000000"/>
          <w:kern w:val="0"/>
          <w:sz w:val="32"/>
          <w:szCs w:val="32"/>
          <w:highlight w:val="lightGray"/>
        </w:rPr>
      </w:pP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五</w:t>
      </w:r>
      <w:r>
        <w:rPr>
          <w:rFonts w:ascii="Times New Roman" w:hAnsi="Times New Roman" w:eastAsia="方正仿宋_GBK"/>
          <w:color w:val="000000"/>
          <w:kern w:val="0"/>
          <w:sz w:val="32"/>
          <w:szCs w:val="32"/>
        </w:rPr>
        <w:t>）业主共有室外车位，物业服务企业可按每月每车位120元收取汽车停放费；</w:t>
      </w:r>
    </w:p>
    <w:p w14:paraId="3B464C91">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六</w:t>
      </w:r>
      <w:r>
        <w:rPr>
          <w:rFonts w:ascii="Times New Roman" w:hAnsi="Times New Roman" w:eastAsia="方正仿宋_GBK"/>
          <w:color w:val="000000"/>
          <w:kern w:val="0"/>
          <w:sz w:val="32"/>
          <w:szCs w:val="32"/>
        </w:rPr>
        <w:t>）住宅区室内机械式车位汽车停放费和租金标准，按相应汽车停放收费（租金）标准减半收取。物业服务企业可向车位使用人另行收取每月每车位50元的机械设备日常维修、保养、检测、使用等运行维护费。</w:t>
      </w:r>
    </w:p>
    <w:p w14:paraId="60E43C6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同一停放区域内的汽车停放费标准应保持一致。 </w:t>
      </w:r>
    </w:p>
    <w:p w14:paraId="06255EF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业主或物业使用人对汽车停放有保管要求的，应当与物业服务企业另行签订保管服务合同。</w:t>
      </w:r>
    </w:p>
    <w:p w14:paraId="1917D85F">
      <w:pPr>
        <w:widowControl/>
        <w:adjustRightInd w:val="0"/>
        <w:snapToGrid w:val="0"/>
        <w:spacing w:line="560" w:lineRule="exact"/>
        <w:ind w:firstLine="640"/>
        <w:rPr>
          <w:rFonts w:ascii="Times New Roman" w:hAnsi="Times New Roman" w:eastAsia="方正仿宋_GBK"/>
          <w:color w:val="000000"/>
          <w:kern w:val="0"/>
          <w:sz w:val="32"/>
          <w:szCs w:val="32"/>
          <w:highlight w:val="lightGray"/>
        </w:rPr>
      </w:pPr>
      <w:r>
        <w:rPr>
          <w:rFonts w:ascii="Times New Roman" w:hAnsi="Times New Roman" w:eastAsia="方正仿宋_GBK"/>
          <w:color w:val="000000"/>
          <w:kern w:val="0"/>
          <w:sz w:val="32"/>
          <w:szCs w:val="32"/>
        </w:rPr>
        <w:t>业主大会成立前，业主共有场地汽车停放所得的收益，30%用于贴补物业服务费，70%纳入物业专项维修资金。业主大会成立后，收益按照业主大会或者业主大会授权的业主委员会决定，由合同约定使用。</w:t>
      </w:r>
    </w:p>
    <w:p w14:paraId="3F35FC83">
      <w:pPr>
        <w:widowControl/>
        <w:adjustRightInd w:val="0"/>
        <w:snapToGrid w:val="0"/>
        <w:spacing w:line="560" w:lineRule="exact"/>
        <w:ind w:firstLine="640"/>
        <w:rPr>
          <w:rFonts w:ascii="方正楷体_GBK" w:hAnsi="方正楷体_GBK" w:eastAsia="方正楷体_GBK" w:cs="方正楷体_GBK"/>
          <w:color w:val="000000"/>
          <w:kern w:val="0"/>
          <w:sz w:val="24"/>
          <w:szCs w:val="24"/>
          <w:highlight w:val="lightGray"/>
        </w:rPr>
      </w:pPr>
      <w:r>
        <w:rPr>
          <w:rFonts w:ascii="Times New Roman" w:hAnsi="Times New Roman" w:eastAsia="方正黑体_GBK"/>
          <w:color w:val="000000"/>
          <w:kern w:val="0"/>
          <w:sz w:val="32"/>
          <w:szCs w:val="32"/>
        </w:rPr>
        <w:t>第二十条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在征得物业服务企业同意的情况下，进入物业管理区域临时停放的车辆，按以下标准收取汽车停放费：以24小时为计费周</w:t>
      </w:r>
      <w:r>
        <w:rPr>
          <w:rFonts w:ascii="Times New Roman" w:hAnsi="Times New Roman" w:eastAsia="方正仿宋_GBK"/>
          <w:color w:val="auto"/>
          <w:kern w:val="0"/>
          <w:sz w:val="32"/>
          <w:szCs w:val="32"/>
        </w:rPr>
        <w:t>期，3小时内免收；</w:t>
      </w:r>
      <w:r>
        <w:rPr>
          <w:rFonts w:ascii="Times New Roman" w:hAnsi="Times New Roman" w:eastAsia="方正仿宋_GBK"/>
          <w:color w:val="000000"/>
          <w:kern w:val="0"/>
          <w:sz w:val="32"/>
          <w:szCs w:val="32"/>
        </w:rPr>
        <w:t>超过3小时部分按每小时（不足1小时按1小时）2元收取，最高不超过20元；超过24小时按上述标准重新计收。</w:t>
      </w:r>
    </w:p>
    <w:p w14:paraId="1BCB1672">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bCs/>
          <w:color w:val="000000"/>
          <w:kern w:val="0"/>
          <w:sz w:val="32"/>
          <w:szCs w:val="32"/>
        </w:rPr>
        <w:t>第二十</w:t>
      </w:r>
      <w:r>
        <w:rPr>
          <w:rFonts w:hint="eastAsia" w:ascii="Times New Roman" w:hAnsi="Times New Roman" w:eastAsia="方正黑体_GBK"/>
          <w:bCs/>
          <w:color w:val="000000"/>
          <w:kern w:val="0"/>
          <w:sz w:val="32"/>
          <w:szCs w:val="32"/>
        </w:rPr>
        <w:t>一</w:t>
      </w:r>
      <w:r>
        <w:rPr>
          <w:rFonts w:ascii="Times New Roman" w:hAnsi="Times New Roman" w:eastAsia="方正黑体_GBK"/>
          <w:bCs/>
          <w:color w:val="000000"/>
          <w:kern w:val="0"/>
          <w:sz w:val="32"/>
          <w:szCs w:val="32"/>
        </w:rPr>
        <w:t xml:space="preserve">条  </w:t>
      </w:r>
      <w:r>
        <w:rPr>
          <w:rFonts w:ascii="Times New Roman" w:hAnsi="Times New Roman" w:eastAsia="方正仿宋_GBK"/>
          <w:color w:val="000000"/>
          <w:kern w:val="0"/>
          <w:sz w:val="32"/>
          <w:szCs w:val="32"/>
        </w:rPr>
        <w:t>对进入物业管理区域内进行军警应急处置、实施救助救护、工程抢修等执行公务期间的车辆，以及为业主、物业使用人配送、维修、安装等服务的临时停放车辆，物业服务企业不得收取车辆停放费。</w:t>
      </w:r>
    </w:p>
    <w:p w14:paraId="3F4BEB3E">
      <w:pPr>
        <w:widowControl/>
        <w:adjustRightInd w:val="0"/>
        <w:snapToGrid w:val="0"/>
        <w:spacing w:line="560" w:lineRule="exact"/>
        <w:ind w:firstLine="640"/>
        <w:rPr>
          <w:rFonts w:ascii="方正楷体_GBK" w:hAnsi="方正楷体_GBK" w:eastAsia="方正楷体_GBK" w:cs="方正楷体_GBK"/>
          <w:color w:val="000000"/>
          <w:kern w:val="0"/>
          <w:sz w:val="24"/>
          <w:szCs w:val="24"/>
          <w:highlight w:val="lightGray"/>
        </w:rPr>
      </w:pPr>
      <w:r>
        <w:rPr>
          <w:rFonts w:ascii="Times New Roman" w:hAnsi="Times New Roman" w:eastAsia="方正仿宋_GBK"/>
          <w:color w:val="000000"/>
          <w:kern w:val="0"/>
          <w:sz w:val="32"/>
          <w:szCs w:val="32"/>
        </w:rPr>
        <w:t>住宅区车辆实行门禁卡管理的，物业服务企业应免费为业主车辆提供每车</w:t>
      </w:r>
      <w:r>
        <w:rPr>
          <w:rFonts w:hint="eastAsia" w:ascii="Times New Roman" w:hAnsi="Times New Roman" w:eastAsia="方正仿宋_GBK"/>
          <w:color w:val="000000"/>
          <w:kern w:val="0"/>
          <w:sz w:val="32"/>
          <w:szCs w:val="32"/>
        </w:rPr>
        <w:t>位</w:t>
      </w:r>
      <w:r>
        <w:rPr>
          <w:rFonts w:ascii="Times New Roman" w:hAnsi="Times New Roman" w:eastAsia="方正仿宋_GBK"/>
          <w:color w:val="000000"/>
          <w:kern w:val="0"/>
          <w:sz w:val="32"/>
          <w:szCs w:val="32"/>
        </w:rPr>
        <w:t>一张的门禁卡。业主或物业使用人另有需求申请办理的，可以适当收取工本费。</w:t>
      </w:r>
    </w:p>
    <w:p w14:paraId="15351B00">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Times New Roman" w:hAnsi="Times New Roman" w:eastAsia="方正黑体_GBK"/>
          <w:color w:val="000000"/>
          <w:kern w:val="0"/>
          <w:sz w:val="32"/>
          <w:szCs w:val="32"/>
        </w:rPr>
        <w:t xml:space="preserve">第二十二条  </w:t>
      </w:r>
      <w:r>
        <w:rPr>
          <w:rFonts w:ascii="Times New Roman" w:hAnsi="Times New Roman" w:eastAsia="方正仿宋_GBK"/>
          <w:color w:val="000000"/>
          <w:kern w:val="0"/>
          <w:sz w:val="32"/>
          <w:szCs w:val="32"/>
        </w:rPr>
        <w:t xml:space="preserve">建设单位应当向全体业主公布车位、车库的处 分情况。未出售或者未附赠的车位、车库，应当优先出租给本物 业管理区域内的业主。业主要求承租车位、车库的，建设单位不得只售不租，期满后可以优先续租。 </w:t>
      </w:r>
    </w:p>
    <w:p w14:paraId="24AD8D34">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车位、车库不得单独转让给物业管理区域外的单位和个人。 </w:t>
      </w:r>
    </w:p>
    <w:p w14:paraId="40FD7534">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划分为一个物业管理区域的分期开发建设项目，建设单位应当结合当期业主停车需求，按照比例划出可供租售的车位、车库，并在物业管理区域内显著位置公示；小区整体交付前，只能向每户业主出售一个车位、车库；小区整体交付后，在确保未销售房屋每户一个车位、车库的情形下，剩余车位、车库可以按照规定出售。 </w:t>
      </w:r>
    </w:p>
    <w:p w14:paraId="27420955">
      <w:pPr>
        <w:widowControl/>
        <w:adjustRightInd w:val="0"/>
        <w:snapToGrid w:val="0"/>
        <w:spacing w:line="560" w:lineRule="exact"/>
        <w:ind w:firstLine="640"/>
        <w:rPr>
          <w:rFonts w:ascii="方正楷体_GBK" w:hAnsi="方正楷体_GBK" w:eastAsia="方正楷体_GBK" w:cs="方正楷体_GBK"/>
          <w:color w:val="auto"/>
          <w:kern w:val="0"/>
          <w:sz w:val="24"/>
          <w:szCs w:val="24"/>
        </w:rPr>
      </w:pPr>
      <w:r>
        <w:rPr>
          <w:rFonts w:ascii="Times New Roman" w:hAnsi="Times New Roman" w:eastAsia="方正仿宋_GBK"/>
          <w:color w:val="000000"/>
          <w:kern w:val="0"/>
          <w:sz w:val="32"/>
          <w:szCs w:val="32"/>
        </w:rPr>
        <w:t>建</w:t>
      </w:r>
      <w:r>
        <w:rPr>
          <w:rFonts w:ascii="Times New Roman" w:hAnsi="Times New Roman" w:eastAsia="方正仿宋_GBK"/>
          <w:color w:val="auto"/>
          <w:kern w:val="0"/>
          <w:sz w:val="32"/>
          <w:szCs w:val="32"/>
        </w:rPr>
        <w:t>设单位未出售或者未附赠的车位、车库，汽车停放费由建设单位承担。建设单位不得以长期租赁的形式，变相出售车位、车库。</w:t>
      </w:r>
    </w:p>
    <w:p w14:paraId="2BEBBC72">
      <w:pPr>
        <w:widowControl/>
        <w:adjustRightInd w:val="0"/>
        <w:snapToGrid w:val="0"/>
        <w:spacing w:line="560" w:lineRule="exact"/>
        <w:ind w:firstLine="640"/>
        <w:rPr>
          <w:rFonts w:ascii="Times New Roman" w:hAnsi="Times New Roman" w:eastAsia="方正仿宋_GBK"/>
          <w:color w:val="000000"/>
          <w:kern w:val="0"/>
          <w:sz w:val="32"/>
          <w:szCs w:val="32"/>
        </w:rPr>
      </w:pPr>
    </w:p>
    <w:p w14:paraId="3E124EA1">
      <w:pPr>
        <w:widowControl/>
        <w:adjustRightInd w:val="0"/>
        <w:snapToGrid w:val="0"/>
        <w:spacing w:line="560" w:lineRule="exact"/>
        <w:ind w:firstLine="0" w:firstLineChars="0"/>
        <w:jc w:val="center"/>
        <w:rPr>
          <w:rFonts w:ascii="Times New Roman" w:hAnsi="Times New Roman" w:eastAsia="方正黑体_GBK"/>
          <w:kern w:val="0"/>
          <w:sz w:val="32"/>
          <w:szCs w:val="32"/>
        </w:rPr>
      </w:pPr>
      <w:r>
        <w:rPr>
          <w:rFonts w:ascii="Times New Roman" w:hAnsi="Times New Roman" w:eastAsia="方正黑体_GBK"/>
          <w:kern w:val="0"/>
          <w:sz w:val="32"/>
          <w:szCs w:val="32"/>
        </w:rPr>
        <w:t>第四章 其他服务项目收费</w:t>
      </w:r>
    </w:p>
    <w:p w14:paraId="23ED9A6F">
      <w:pPr>
        <w:widowControl/>
        <w:adjustRightInd w:val="0"/>
        <w:snapToGrid w:val="0"/>
        <w:spacing w:line="560" w:lineRule="exact"/>
        <w:ind w:firstLine="640"/>
        <w:rPr>
          <w:rFonts w:ascii="Times New Roman" w:hAnsi="Times New Roman" w:eastAsia="方正仿宋_GBK"/>
          <w:color w:val="000000"/>
          <w:kern w:val="0"/>
          <w:sz w:val="32"/>
          <w:szCs w:val="32"/>
        </w:rPr>
      </w:pPr>
    </w:p>
    <w:p w14:paraId="22A9E58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三</w:t>
      </w:r>
      <w:r>
        <w:rPr>
          <w:rFonts w:ascii="Times New Roman" w:hAnsi="Times New Roman" w:eastAsia="方正黑体_GBK"/>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方正仿宋_GBK"/>
          <w:color w:val="000000"/>
          <w:kern w:val="0"/>
          <w:sz w:val="32"/>
          <w:szCs w:val="32"/>
        </w:rPr>
        <w:t>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所称其他服务项目收费，是指物业管理区域内除物业公共服务费、汽车停放费和车位租金外，物业服务企业向业主、物业使用人提供服务并收取的费用，以及涉及物业服务企业和业主、物业使用人的其他费用。</w:t>
      </w:r>
    </w:p>
    <w:p w14:paraId="6A3C8965">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四</w:t>
      </w:r>
      <w:r>
        <w:rPr>
          <w:rFonts w:ascii="Times New Roman" w:hAnsi="Times New Roman" w:eastAsia="方正黑体_GBK"/>
          <w:color w:val="000000"/>
          <w:kern w:val="0"/>
          <w:sz w:val="32"/>
          <w:szCs w:val="32"/>
        </w:rPr>
        <w:t xml:space="preserve">条  </w:t>
      </w:r>
      <w:r>
        <w:rPr>
          <w:rFonts w:ascii="Times New Roman" w:hAnsi="Times New Roman" w:eastAsia="方正仿宋_GBK"/>
          <w:color w:val="000000"/>
          <w:kern w:val="0"/>
          <w:sz w:val="32"/>
          <w:szCs w:val="32"/>
        </w:rPr>
        <w:t>物业服务企业接受供水、供电、供气、供热等专业经营单位委托代收费用的，物业服务企业可以根据约定向委托单位收取代办手续费，但不得向业主、物业使用人收取任何额外费用。</w:t>
      </w:r>
    </w:p>
    <w:p w14:paraId="036C459E">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五</w:t>
      </w:r>
      <w:r>
        <w:rPr>
          <w:rFonts w:ascii="Times New Roman" w:hAnsi="Times New Roman" w:eastAsia="方正黑体_GBK"/>
          <w:color w:val="000000"/>
          <w:kern w:val="0"/>
          <w:sz w:val="32"/>
          <w:szCs w:val="32"/>
        </w:rPr>
        <w:t xml:space="preserve">条  </w:t>
      </w:r>
      <w:r>
        <w:rPr>
          <w:rFonts w:ascii="Times New Roman" w:hAnsi="Times New Roman" w:eastAsia="方正仿宋_GBK"/>
          <w:color w:val="000000"/>
          <w:kern w:val="0"/>
          <w:sz w:val="32"/>
          <w:szCs w:val="32"/>
        </w:rPr>
        <w:t>公共能耗费，是指物业管理区域内，共用的水泵、中央空调、集中供热、监控机房、消防系统等设施设备运行电费及公共照明、公共用水等由物业服务企业负责代收代交的费用。</w:t>
      </w:r>
    </w:p>
    <w:p w14:paraId="3C7C8BE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公共能耗费标准由物业服务企业按实际支出费用，以约定方式向业主或使用人按建筑面积合理、公开分摊收取。</w:t>
      </w:r>
    </w:p>
    <w:p w14:paraId="465EF395">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六</w:t>
      </w:r>
      <w:r>
        <w:rPr>
          <w:rFonts w:ascii="Times New Roman" w:hAnsi="Times New Roman" w:eastAsia="方正黑体_GBK"/>
          <w:color w:val="000000"/>
          <w:kern w:val="0"/>
          <w:sz w:val="32"/>
          <w:szCs w:val="32"/>
        </w:rPr>
        <w:t xml:space="preserve">条  </w:t>
      </w:r>
      <w:r>
        <w:rPr>
          <w:rFonts w:ascii="Times New Roman" w:hAnsi="Times New Roman" w:eastAsia="方正仿宋_GBK"/>
          <w:color w:val="000000"/>
          <w:kern w:val="0"/>
          <w:sz w:val="32"/>
          <w:szCs w:val="32"/>
        </w:rPr>
        <w:t>电梯运行维护费，</w:t>
      </w:r>
      <w:r>
        <w:rPr>
          <w:rFonts w:hint="eastAsia" w:ascii="Times New Roman" w:hAnsi="Times New Roman" w:eastAsia="方正仿宋_GBK"/>
          <w:color w:val="000000"/>
          <w:kern w:val="0"/>
          <w:sz w:val="32"/>
          <w:szCs w:val="32"/>
        </w:rPr>
        <w:t>是指在日常和装修使用中，电梯维修养护、保养、检测、能耗、责任保险等由物业服务企业负责代收代交的费用。</w:t>
      </w:r>
    </w:p>
    <w:p w14:paraId="5C7F2AAD">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电梯运行维护费标准由物业服务企业按实际支出费用，以约定方式向业主或物业使用人按建筑面积合理、公开分摊收取。电梯到达起始层的住户，免收电梯运行维护费。</w:t>
      </w:r>
    </w:p>
    <w:p w14:paraId="3E00D9ED">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auto"/>
          <w:kern w:val="0"/>
          <w:sz w:val="32"/>
          <w:szCs w:val="32"/>
        </w:rPr>
        <w:t>单列电梯运行维护费的，其电梯运</w:t>
      </w:r>
      <w:r>
        <w:rPr>
          <w:rFonts w:ascii="Times New Roman" w:hAnsi="Times New Roman" w:eastAsia="方正仿宋_GBK"/>
          <w:color w:val="000000"/>
          <w:kern w:val="0"/>
          <w:sz w:val="32"/>
          <w:szCs w:val="32"/>
        </w:rPr>
        <w:t>行过程中日常维护、保养、检测、能耗、责任保险等发生的费用不得重复计入物业公共服务费和公共能耗费。</w:t>
      </w:r>
    </w:p>
    <w:p w14:paraId="7DEFF7A4">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七</w:t>
      </w:r>
      <w:r>
        <w:rPr>
          <w:rFonts w:ascii="Times New Roman" w:hAnsi="Times New Roman" w:eastAsia="方正黑体_GBK"/>
          <w:color w:val="000000"/>
          <w:kern w:val="0"/>
          <w:sz w:val="32"/>
          <w:szCs w:val="32"/>
        </w:rPr>
        <w:t xml:space="preserve">条  </w:t>
      </w:r>
      <w:r>
        <w:rPr>
          <w:rFonts w:ascii="Times New Roman" w:hAnsi="Times New Roman" w:eastAsia="方正仿宋_GBK"/>
          <w:color w:val="000000"/>
          <w:kern w:val="0"/>
          <w:sz w:val="32"/>
          <w:szCs w:val="32"/>
        </w:rPr>
        <w:t>科技系统运行维护费，是指为住宅提供自动调节室内温度、湿度、空气，模拟自然环境所产生的专用设备运行维护费用。</w:t>
      </w:r>
    </w:p>
    <w:p w14:paraId="1F35356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科技系统运行维护费标准由物业服务企业按实际支出费用，以约定方式向业主或物业使用人按建筑面积合理、公开分摊收取。</w:t>
      </w:r>
    </w:p>
    <w:p w14:paraId="4FDAFB68">
      <w:pPr>
        <w:widowControl/>
        <w:adjustRightInd w:val="0"/>
        <w:snapToGrid w:val="0"/>
        <w:spacing w:line="560" w:lineRule="exact"/>
        <w:ind w:firstLine="640"/>
        <w:rPr>
          <w:rFonts w:ascii="Times New Roman" w:hAnsi="Times New Roman" w:eastAsia="方正仿宋_GBK"/>
          <w:color w:val="auto"/>
          <w:kern w:val="0"/>
          <w:sz w:val="32"/>
          <w:szCs w:val="32"/>
          <w:highlight w:val="none"/>
        </w:rPr>
      </w:pPr>
      <w:r>
        <w:rPr>
          <w:rFonts w:ascii="Times New Roman" w:hAnsi="Times New Roman" w:eastAsia="方正黑体_GBK"/>
          <w:color w:val="000000"/>
          <w:kern w:val="0"/>
          <w:sz w:val="32"/>
          <w:szCs w:val="32"/>
        </w:rPr>
        <w:t>第二十</w:t>
      </w:r>
      <w:r>
        <w:rPr>
          <w:rFonts w:hint="eastAsia" w:ascii="Times New Roman" w:hAnsi="Times New Roman" w:eastAsia="方正黑体_GBK"/>
          <w:color w:val="000000"/>
          <w:kern w:val="0"/>
          <w:sz w:val="32"/>
          <w:szCs w:val="32"/>
        </w:rPr>
        <w:t>八</w:t>
      </w:r>
      <w:r>
        <w:rPr>
          <w:rFonts w:ascii="Times New Roman" w:hAnsi="Times New Roman" w:eastAsia="方正黑体_GBK"/>
          <w:color w:val="000000"/>
          <w:kern w:val="0"/>
          <w:sz w:val="32"/>
          <w:szCs w:val="32"/>
        </w:rPr>
        <w:t xml:space="preserve">条 </w:t>
      </w:r>
      <w:r>
        <w:rPr>
          <w:rFonts w:ascii="Times New Roman" w:hAnsi="Times New Roman" w:eastAsia="方正黑体_GBK"/>
          <w:color w:val="auto"/>
          <w:kern w:val="0"/>
          <w:sz w:val="32"/>
          <w:szCs w:val="32"/>
          <w:highlight w:val="none"/>
        </w:rPr>
        <w:t xml:space="preserve"> </w:t>
      </w:r>
      <w:r>
        <w:rPr>
          <w:rFonts w:ascii="Times New Roman" w:hAnsi="Times New Roman" w:eastAsia="方正仿宋_GBK"/>
          <w:color w:val="auto"/>
          <w:kern w:val="0"/>
          <w:sz w:val="32"/>
          <w:szCs w:val="32"/>
          <w:highlight w:val="none"/>
        </w:rPr>
        <w:t>业主或物业使用人在其物业室内产生的装修垃圾，可委托物业服务企业或专业清运公司处置，由</w:t>
      </w:r>
      <w:r>
        <w:rPr>
          <w:rFonts w:hint="eastAsia" w:ascii="Times New Roman" w:hAnsi="Times New Roman" w:eastAsia="方正仿宋_GBK"/>
          <w:color w:val="auto"/>
          <w:kern w:val="0"/>
          <w:sz w:val="32"/>
          <w:szCs w:val="32"/>
          <w:highlight w:val="none"/>
          <w:lang w:val="en-US" w:eastAsia="zh-CN"/>
        </w:rPr>
        <w:t>经依法核准</w:t>
      </w:r>
      <w:r>
        <w:rPr>
          <w:rFonts w:ascii="Times New Roman" w:hAnsi="Times New Roman" w:eastAsia="方正仿宋_GBK"/>
          <w:color w:val="auto"/>
          <w:kern w:val="0"/>
          <w:sz w:val="32"/>
          <w:szCs w:val="32"/>
          <w:highlight w:val="none"/>
        </w:rPr>
        <w:t>的</w:t>
      </w:r>
      <w:r>
        <w:rPr>
          <w:rFonts w:hint="eastAsia" w:ascii="Times New Roman" w:hAnsi="Times New Roman" w:eastAsia="方正仿宋_GBK"/>
          <w:color w:val="auto"/>
          <w:kern w:val="0"/>
          <w:sz w:val="32"/>
          <w:szCs w:val="32"/>
          <w:highlight w:val="none"/>
          <w:lang w:val="en-US" w:eastAsia="zh-CN"/>
        </w:rPr>
        <w:t>运输单位</w:t>
      </w:r>
      <w:r>
        <w:rPr>
          <w:rFonts w:ascii="Times New Roman" w:hAnsi="Times New Roman" w:eastAsia="方正仿宋_GBK"/>
          <w:color w:val="auto"/>
          <w:kern w:val="0"/>
          <w:sz w:val="32"/>
          <w:szCs w:val="32"/>
          <w:highlight w:val="none"/>
        </w:rPr>
        <w:t>清运至城市管理部门指定的</w:t>
      </w:r>
      <w:r>
        <w:rPr>
          <w:rFonts w:hint="eastAsia" w:ascii="Times New Roman" w:hAnsi="Times New Roman" w:eastAsia="方正仿宋_GBK"/>
          <w:color w:val="auto"/>
          <w:kern w:val="0"/>
          <w:sz w:val="32"/>
          <w:szCs w:val="32"/>
          <w:highlight w:val="none"/>
          <w:lang w:val="en-US" w:eastAsia="zh-CN"/>
        </w:rPr>
        <w:t>资源化利用处置终端</w:t>
      </w:r>
      <w:r>
        <w:rPr>
          <w:rFonts w:ascii="Times New Roman" w:hAnsi="Times New Roman" w:eastAsia="方正仿宋_GBK"/>
          <w:color w:val="auto"/>
          <w:kern w:val="0"/>
          <w:sz w:val="32"/>
          <w:szCs w:val="32"/>
          <w:highlight w:val="none"/>
        </w:rPr>
        <w:t>，清运费用和处置费用</w:t>
      </w:r>
      <w:r>
        <w:rPr>
          <w:rFonts w:hint="eastAsia" w:ascii="Times New Roman" w:hAnsi="Times New Roman" w:eastAsia="方正仿宋_GBK"/>
          <w:color w:val="auto"/>
          <w:kern w:val="0"/>
          <w:sz w:val="32"/>
          <w:szCs w:val="32"/>
          <w:highlight w:val="none"/>
        </w:rPr>
        <w:t>由业主自行承担</w:t>
      </w:r>
      <w:r>
        <w:rPr>
          <w:rFonts w:hint="eastAsia" w:ascii="Times New Roman" w:hAnsi="Times New Roman" w:eastAsia="方正仿宋_GBK"/>
          <w:color w:val="auto"/>
          <w:kern w:val="0"/>
          <w:sz w:val="32"/>
          <w:szCs w:val="32"/>
          <w:highlight w:val="none"/>
          <w:lang w:eastAsia="zh-CN"/>
        </w:rPr>
        <w:t>。</w:t>
      </w:r>
    </w:p>
    <w:p w14:paraId="3E9BBE1E">
      <w:pPr>
        <w:widowControl/>
        <w:adjustRightInd w:val="0"/>
        <w:snapToGrid w:val="0"/>
        <w:spacing w:line="560" w:lineRule="exact"/>
        <w:ind w:firstLine="640"/>
        <w:rPr>
          <w:rFonts w:ascii="方正楷体_GBK" w:hAnsi="方正楷体_GBK" w:eastAsia="方正楷体_GBK" w:cs="方正楷体_GBK"/>
          <w:color w:val="FF0000"/>
          <w:kern w:val="0"/>
          <w:sz w:val="24"/>
          <w:szCs w:val="24"/>
          <w:highlight w:val="yellow"/>
        </w:rPr>
      </w:pPr>
      <w:r>
        <w:rPr>
          <w:rFonts w:ascii="Times New Roman" w:hAnsi="Times New Roman" w:eastAsia="方正黑体_GBK"/>
          <w:kern w:val="0"/>
          <w:sz w:val="32"/>
          <w:szCs w:val="32"/>
        </w:rPr>
        <w:t>第</w:t>
      </w:r>
      <w:r>
        <w:rPr>
          <w:rFonts w:hint="eastAsia" w:ascii="Times New Roman" w:hAnsi="Times New Roman" w:eastAsia="方正黑体_GBK"/>
          <w:color w:val="000000"/>
          <w:kern w:val="0"/>
          <w:sz w:val="32"/>
          <w:szCs w:val="32"/>
        </w:rPr>
        <w:t>二十九</w:t>
      </w:r>
      <w:r>
        <w:rPr>
          <w:rFonts w:ascii="Times New Roman" w:hAnsi="Times New Roman" w:eastAsia="方正黑体_GBK"/>
          <w:kern w:val="0"/>
          <w:sz w:val="32"/>
          <w:szCs w:val="32"/>
        </w:rPr>
        <w:t>条</w:t>
      </w:r>
      <w:r>
        <w:rPr>
          <w:rFonts w:ascii="Times New Roman" w:hAnsi="Times New Roman" w:eastAsia="仿宋_GB2312"/>
          <w:color w:val="C0504D" w:themeColor="accent2"/>
          <w:kern w:val="0"/>
          <w:sz w:val="32"/>
          <w:szCs w:val="32"/>
          <w14:textFill>
            <w14:solidFill>
              <w14:schemeClr w14:val="accent2"/>
            </w14:solidFill>
          </w14:textFill>
        </w:rPr>
        <w:t xml:space="preserve"> </w:t>
      </w:r>
      <w:r>
        <w:rPr>
          <w:rFonts w:ascii="Times New Roman" w:hAnsi="Times New Roman" w:eastAsia="仿宋_GB2312"/>
          <w:color w:val="auto"/>
          <w:kern w:val="0"/>
          <w:sz w:val="32"/>
          <w:szCs w:val="32"/>
          <w:highlight w:val="none"/>
        </w:rPr>
        <w:t xml:space="preserve"> </w:t>
      </w:r>
      <w:r>
        <w:rPr>
          <w:rFonts w:ascii="Times New Roman" w:hAnsi="Times New Roman" w:eastAsia="方正仿宋_GBK"/>
          <w:color w:val="auto"/>
          <w:kern w:val="0"/>
          <w:sz w:val="32"/>
          <w:szCs w:val="32"/>
          <w:highlight w:val="none"/>
        </w:rPr>
        <w:t>物业管理区域内集中停放看管的摩托车和非机动车停放服务收费，以及电动</w:t>
      </w:r>
      <w:r>
        <w:rPr>
          <w:rFonts w:hint="eastAsia" w:ascii="Times New Roman" w:hAnsi="Times New Roman" w:eastAsia="方正仿宋_GBK"/>
          <w:color w:val="auto"/>
          <w:kern w:val="0"/>
          <w:sz w:val="32"/>
          <w:szCs w:val="32"/>
          <w:highlight w:val="none"/>
          <w:lang w:val="en-US" w:eastAsia="zh-CN"/>
        </w:rPr>
        <w:t>自行</w:t>
      </w:r>
      <w:r>
        <w:rPr>
          <w:rFonts w:ascii="Times New Roman" w:hAnsi="Times New Roman" w:eastAsia="方正仿宋_GBK"/>
          <w:color w:val="auto"/>
          <w:kern w:val="0"/>
          <w:sz w:val="32"/>
          <w:szCs w:val="32"/>
          <w:highlight w:val="none"/>
        </w:rPr>
        <w:t>车、电动汽车充换电服务收费，由</w:t>
      </w:r>
      <w:r>
        <w:rPr>
          <w:rFonts w:hint="eastAsia" w:ascii="Times New Roman" w:hAnsi="Times New Roman" w:eastAsia="方正仿宋_GBK"/>
          <w:color w:val="auto"/>
          <w:kern w:val="0"/>
          <w:sz w:val="32"/>
          <w:szCs w:val="32"/>
          <w:highlight w:val="none"/>
          <w:lang w:val="en-US" w:eastAsia="zh-CN"/>
        </w:rPr>
        <w:t>提供</w:t>
      </w:r>
      <w:r>
        <w:rPr>
          <w:rFonts w:ascii="Times New Roman" w:hAnsi="Times New Roman" w:eastAsia="方正仿宋_GBK"/>
          <w:color w:val="auto"/>
          <w:kern w:val="0"/>
          <w:sz w:val="32"/>
          <w:szCs w:val="32"/>
          <w:highlight w:val="none"/>
        </w:rPr>
        <w:t>服务</w:t>
      </w:r>
      <w:r>
        <w:rPr>
          <w:rFonts w:hint="eastAsia" w:ascii="Times New Roman" w:hAnsi="Times New Roman" w:eastAsia="方正仿宋_GBK"/>
          <w:color w:val="auto"/>
          <w:kern w:val="0"/>
          <w:sz w:val="32"/>
          <w:szCs w:val="32"/>
          <w:highlight w:val="none"/>
          <w:lang w:val="en-US" w:eastAsia="zh-CN"/>
        </w:rPr>
        <w:t>的</w:t>
      </w:r>
      <w:r>
        <w:rPr>
          <w:rFonts w:ascii="Times New Roman" w:hAnsi="Times New Roman" w:eastAsia="方正仿宋_GBK"/>
          <w:color w:val="auto"/>
          <w:kern w:val="0"/>
          <w:sz w:val="32"/>
          <w:szCs w:val="32"/>
          <w:highlight w:val="none"/>
        </w:rPr>
        <w:t>企业与车主或使用人约定收取。</w:t>
      </w:r>
    </w:p>
    <w:p w14:paraId="4C553663">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黑体_GBK"/>
          <w:kern w:val="0"/>
          <w:sz w:val="32"/>
          <w:szCs w:val="32"/>
        </w:rPr>
        <w:t>第三十条</w:t>
      </w:r>
      <w:r>
        <w:rPr>
          <w:rFonts w:ascii="Times New Roman" w:hAnsi="Times New Roman" w:eastAsia="方正黑体_GBK"/>
          <w:color w:val="C0504D" w:themeColor="accent2"/>
          <w:kern w:val="0"/>
          <w:sz w:val="32"/>
          <w:szCs w:val="32"/>
          <w14:textFill>
            <w14:solidFill>
              <w14:schemeClr w14:val="accent2"/>
            </w14:solidFill>
          </w14:textFill>
        </w:rPr>
        <w:t xml:space="preserve">  </w:t>
      </w:r>
      <w:r>
        <w:rPr>
          <w:rFonts w:ascii="Times New Roman" w:hAnsi="Times New Roman" w:eastAsia="方正仿宋_GBK"/>
          <w:color w:val="000000"/>
          <w:kern w:val="0"/>
          <w:sz w:val="32"/>
          <w:szCs w:val="32"/>
        </w:rPr>
        <w:t>住宅小区实行门禁出入证（卡）管理的，建设单位应当免费为业主、物业使用人配置每户5张出入证（卡）。改造升级实行出入证（卡）管理的物业管理区域，应当为业主免费配置必要数量的出入证（卡）。因业主、物业使用人要求另需增加或因丢失、损坏等需补卡，可适当收取工本费。</w:t>
      </w:r>
    </w:p>
    <w:p w14:paraId="7AB8514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一</w:t>
      </w:r>
      <w:r>
        <w:rPr>
          <w:rFonts w:ascii="Times New Roman" w:hAnsi="Times New Roman" w:eastAsia="方正黑体_GBK"/>
          <w:kern w:val="0"/>
          <w:sz w:val="32"/>
          <w:szCs w:val="32"/>
        </w:rPr>
        <w:t xml:space="preserve">条  </w:t>
      </w:r>
      <w:r>
        <w:rPr>
          <w:rFonts w:ascii="Times New Roman" w:hAnsi="Times New Roman" w:eastAsia="方正仿宋_GBK"/>
          <w:color w:val="000000"/>
          <w:kern w:val="0"/>
          <w:sz w:val="32"/>
          <w:szCs w:val="32"/>
        </w:rPr>
        <w:t>装修押金保证金、装修人员出入证等以及应业主或物业使用人要求</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物业服务企业提供特约服务所收取的费用，由双方根据服务内容、服务质量协商约定。</w:t>
      </w:r>
    </w:p>
    <w:p w14:paraId="25ECF194">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二</w:t>
      </w:r>
      <w:r>
        <w:rPr>
          <w:rFonts w:ascii="Times New Roman" w:hAnsi="Times New Roman" w:eastAsia="方正黑体_GBK"/>
          <w:kern w:val="0"/>
          <w:sz w:val="32"/>
          <w:szCs w:val="32"/>
        </w:rPr>
        <w:t xml:space="preserve">条  </w:t>
      </w:r>
      <w:r>
        <w:rPr>
          <w:rFonts w:ascii="Times New Roman" w:hAnsi="Times New Roman" w:eastAsia="方正仿宋_GBK"/>
          <w:color w:val="000000"/>
          <w:kern w:val="0"/>
          <w:sz w:val="32"/>
          <w:szCs w:val="32"/>
        </w:rPr>
        <w:t>业主装修时，物业服务企业应积极配合，提供便捷的服务。住宅区内，装修材料的运送、搬运等服务由业主或物业使用人自行选择，物业服务企业不得强制指定、垄断服务。相关服务费用由业主或物业使用人与提供服务者双方协商约定。</w:t>
      </w:r>
    </w:p>
    <w:p w14:paraId="207B8A0C">
      <w:pPr>
        <w:widowControl/>
        <w:adjustRightInd w:val="0"/>
        <w:snapToGrid w:val="0"/>
        <w:spacing w:line="560" w:lineRule="exact"/>
        <w:ind w:firstLine="640"/>
        <w:rPr>
          <w:rFonts w:ascii="Times New Roman" w:hAnsi="Times New Roman" w:eastAsia="仿宋_GB2312"/>
          <w:kern w:val="0"/>
          <w:sz w:val="32"/>
          <w:szCs w:val="32"/>
        </w:rPr>
      </w:pPr>
    </w:p>
    <w:p w14:paraId="03744B10">
      <w:pPr>
        <w:widowControl/>
        <w:adjustRightInd w:val="0"/>
        <w:snapToGrid w:val="0"/>
        <w:spacing w:line="560" w:lineRule="exact"/>
        <w:ind w:firstLine="0" w:firstLineChars="0"/>
        <w:jc w:val="center"/>
        <w:rPr>
          <w:rFonts w:ascii="Times New Roman" w:hAnsi="Times New Roman" w:eastAsia="方正黑体_GBK"/>
          <w:kern w:val="0"/>
          <w:sz w:val="32"/>
          <w:szCs w:val="32"/>
        </w:rPr>
      </w:pPr>
      <w:r>
        <w:rPr>
          <w:rFonts w:ascii="Times New Roman" w:hAnsi="Times New Roman" w:eastAsia="方正黑体_GBK"/>
          <w:kern w:val="0"/>
          <w:sz w:val="32"/>
          <w:szCs w:val="32"/>
        </w:rPr>
        <w:t>第五章 行为规范与监督管理</w:t>
      </w:r>
    </w:p>
    <w:p w14:paraId="097ADB95">
      <w:pPr>
        <w:widowControl/>
        <w:adjustRightInd w:val="0"/>
        <w:snapToGrid w:val="0"/>
        <w:spacing w:line="560" w:lineRule="exact"/>
        <w:ind w:firstLine="640"/>
        <w:rPr>
          <w:rFonts w:ascii="Times New Roman" w:hAnsi="Times New Roman" w:eastAsia="方正黑体_GBK"/>
          <w:kern w:val="0"/>
          <w:sz w:val="32"/>
          <w:szCs w:val="32"/>
        </w:rPr>
      </w:pPr>
    </w:p>
    <w:p w14:paraId="3129B4D0">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三</w:t>
      </w:r>
      <w:r>
        <w:rPr>
          <w:rFonts w:ascii="Times New Roman" w:hAnsi="Times New Roman" w:eastAsia="方正黑体_GBK"/>
          <w:kern w:val="0"/>
          <w:sz w:val="32"/>
          <w:szCs w:val="32"/>
        </w:rPr>
        <w:t xml:space="preserve">条  </w:t>
      </w:r>
      <w:r>
        <w:rPr>
          <w:rFonts w:ascii="Times New Roman" w:hAnsi="Times New Roman" w:eastAsia="方正仿宋_GBK"/>
          <w:color w:val="000000"/>
          <w:kern w:val="0"/>
          <w:sz w:val="32"/>
          <w:szCs w:val="32"/>
        </w:rPr>
        <w:t>开发建设单位应在销售现场公示前期物业</w:t>
      </w:r>
      <w:r>
        <w:rPr>
          <w:rFonts w:hint="eastAsia" w:ascii="Times New Roman" w:hAnsi="Times New Roman" w:eastAsia="方正仿宋_GBK"/>
          <w:color w:val="000000"/>
          <w:kern w:val="0"/>
          <w:sz w:val="32"/>
          <w:szCs w:val="32"/>
        </w:rPr>
        <w:t>服务</w:t>
      </w:r>
      <w:r>
        <w:rPr>
          <w:rFonts w:ascii="Times New Roman" w:hAnsi="Times New Roman" w:eastAsia="方正仿宋_GBK"/>
          <w:color w:val="000000"/>
          <w:kern w:val="0"/>
          <w:sz w:val="32"/>
          <w:szCs w:val="32"/>
        </w:rPr>
        <w:t>合同、前期物业服务收费备案内容。物业服务企业应当执行明码标价规定，在物业管理区域内的显著位置公示物业服务企业名称、服务内容、服务等级、收费项目、收费标准、收费方式以及收费依据、举报投诉电话等，自觉接受业主、物业使用人的监督，不得向业主、物业使用人收取任何未予标明的费用。</w:t>
      </w:r>
    </w:p>
    <w:p w14:paraId="38C72DC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000000"/>
          <w:kern w:val="0"/>
          <w:sz w:val="32"/>
          <w:szCs w:val="32"/>
        </w:rPr>
        <w:t>第三十</w:t>
      </w:r>
      <w:r>
        <w:rPr>
          <w:rFonts w:hint="eastAsia" w:ascii="Times New Roman" w:hAnsi="Times New Roman" w:eastAsia="方正黑体_GBK"/>
          <w:color w:val="000000"/>
          <w:kern w:val="0"/>
          <w:sz w:val="32"/>
          <w:szCs w:val="32"/>
        </w:rPr>
        <w:t>四</w:t>
      </w:r>
      <w:r>
        <w:rPr>
          <w:rFonts w:ascii="Times New Roman" w:hAnsi="Times New Roman" w:eastAsia="方正黑体_GBK"/>
          <w:color w:val="000000"/>
          <w:kern w:val="0"/>
          <w:sz w:val="32"/>
          <w:szCs w:val="32"/>
        </w:rPr>
        <w:t xml:space="preserve">条  </w:t>
      </w:r>
      <w:r>
        <w:rPr>
          <w:rFonts w:ascii="Times New Roman" w:hAnsi="Times New Roman" w:eastAsia="方正仿宋_GBK"/>
          <w:color w:val="000000"/>
          <w:kern w:val="0"/>
          <w:sz w:val="32"/>
          <w:szCs w:val="32"/>
        </w:rPr>
        <w:t>物业服务企业应当加强价格自律，遵守价格法律、法规、政策，</w:t>
      </w:r>
      <w:r>
        <w:rPr>
          <w:rFonts w:hint="eastAsia" w:ascii="Times New Roman" w:hAnsi="Times New Roman" w:eastAsia="方正仿宋_GBK"/>
          <w:color w:val="000000"/>
          <w:kern w:val="0"/>
          <w:sz w:val="32"/>
          <w:szCs w:val="32"/>
        </w:rPr>
        <w:t>全面</w:t>
      </w:r>
      <w:r>
        <w:rPr>
          <w:rFonts w:ascii="Times New Roman" w:hAnsi="Times New Roman" w:eastAsia="方正仿宋_GBK"/>
          <w:color w:val="000000"/>
          <w:kern w:val="0"/>
          <w:sz w:val="32"/>
          <w:szCs w:val="32"/>
        </w:rPr>
        <w:t>履行物业服务合同，保证服务质量和收费标准质价相符。</w:t>
      </w:r>
    </w:p>
    <w:p w14:paraId="051999B3">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同一物业服务企业同时服务于多个物业管理区域的，服务成本和收支应按物业管理项目分别核算。</w:t>
      </w:r>
    </w:p>
    <w:p w14:paraId="3C96F2B3">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五</w:t>
      </w:r>
      <w:r>
        <w:rPr>
          <w:rFonts w:ascii="Times New Roman" w:hAnsi="Times New Roman" w:eastAsia="方正黑体_GBK"/>
          <w:kern w:val="0"/>
          <w:sz w:val="32"/>
          <w:szCs w:val="32"/>
        </w:rPr>
        <w:t>条</w:t>
      </w:r>
      <w:r>
        <w:rPr>
          <w:rFonts w:ascii="Times New Roman" w:hAnsi="Times New Roman" w:eastAsia="仿宋_GB2312"/>
          <w:color w:val="1F497D" w:themeColor="text2"/>
          <w:kern w:val="0"/>
          <w:sz w:val="32"/>
          <w:szCs w:val="32"/>
          <w14:textFill>
            <w14:solidFill>
              <w14:schemeClr w14:val="tx2"/>
            </w14:solidFill>
          </w14:textFill>
        </w:rPr>
        <w:t xml:space="preserve">  </w:t>
      </w:r>
      <w:r>
        <w:rPr>
          <w:rFonts w:ascii="Times New Roman" w:hAnsi="Times New Roman" w:eastAsia="方正仿宋_GBK"/>
          <w:color w:val="000000"/>
          <w:kern w:val="0"/>
          <w:sz w:val="32"/>
          <w:szCs w:val="32"/>
        </w:rPr>
        <w:t>物业公共服务费、公共能耗费、电梯运行维护费、共用设施经营收入应当单独列账，独立核算。</w:t>
      </w:r>
    </w:p>
    <w:p w14:paraId="5F16D2AF">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物业服务企业应当</w:t>
      </w:r>
      <w:r>
        <w:rPr>
          <w:rFonts w:hint="eastAsia" w:ascii="Times New Roman" w:hAnsi="Times New Roman" w:eastAsia="方正仿宋_GBK"/>
          <w:color w:val="000000"/>
          <w:kern w:val="0"/>
          <w:sz w:val="32"/>
          <w:szCs w:val="32"/>
        </w:rPr>
        <w:t>在</w:t>
      </w:r>
      <w:r>
        <w:rPr>
          <w:rFonts w:ascii="Times New Roman" w:hAnsi="Times New Roman" w:eastAsia="方正仿宋_GBK"/>
          <w:color w:val="000000"/>
          <w:kern w:val="0"/>
          <w:sz w:val="32"/>
          <w:szCs w:val="32"/>
        </w:rPr>
        <w:t>每年三月底前，在物业管理区域内的显著位置分别公示上年度物业公共服务费、公共能耗费、电梯运行维护费和经营公共设施收益收支情况。</w:t>
      </w:r>
    </w:p>
    <w:p w14:paraId="7C59AF05">
      <w:pPr>
        <w:widowControl/>
        <w:adjustRightInd w:val="0"/>
        <w:snapToGrid w:val="0"/>
        <w:spacing w:line="560" w:lineRule="exact"/>
        <w:ind w:firstLine="64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物业服务企业应按规定实行物业服务季度报告制度，在物业管理区域内显著位置公示服务报告内容，并保存好相关公示报告记录。</w:t>
      </w:r>
    </w:p>
    <w:p w14:paraId="2180833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六</w:t>
      </w:r>
      <w:r>
        <w:rPr>
          <w:rFonts w:ascii="Times New Roman" w:hAnsi="Times New Roman" w:eastAsia="方正黑体_GBK"/>
          <w:kern w:val="0"/>
          <w:sz w:val="32"/>
          <w:szCs w:val="32"/>
        </w:rPr>
        <w:t>条</w:t>
      </w:r>
      <w:r>
        <w:rPr>
          <w:rFonts w:ascii="Times New Roman" w:hAnsi="Times New Roman" w:eastAsia="仿宋_GB2312"/>
          <w:color w:val="C0504D" w:themeColor="accent2"/>
          <w:kern w:val="0"/>
          <w:sz w:val="32"/>
          <w:szCs w:val="32"/>
          <w14:textFill>
            <w14:solidFill>
              <w14:schemeClr w14:val="accent2"/>
            </w14:solidFill>
          </w14:textFill>
        </w:rPr>
        <w:t xml:space="preserve">  </w:t>
      </w:r>
      <w:r>
        <w:rPr>
          <w:rFonts w:ascii="Times New Roman" w:hAnsi="Times New Roman" w:eastAsia="方正仿宋_GBK"/>
          <w:color w:val="000000"/>
          <w:kern w:val="0"/>
          <w:sz w:val="32"/>
          <w:szCs w:val="32"/>
        </w:rPr>
        <w:t>物业服务企业可以根据物业服务合同预收按月缴纳的费用，但预收的期限最长不得超过一年。</w:t>
      </w:r>
    </w:p>
    <w:p w14:paraId="7370E70F">
      <w:pPr>
        <w:ind w:firstLine="640"/>
        <w:rPr>
          <w:rFonts w:ascii="方正仿宋_GBK" w:eastAsia="方正仿宋_GBK"/>
          <w:color w:val="auto"/>
          <w:sz w:val="32"/>
          <w:szCs w:val="32"/>
          <w:shd w:val="clear" w:color="auto" w:fill="FFFFFF"/>
        </w:rPr>
      </w:pPr>
      <w:r>
        <w:rPr>
          <w:rFonts w:hint="eastAsia" w:ascii="方正仿宋_GBK" w:eastAsia="方正仿宋_GBK"/>
          <w:color w:val="auto"/>
          <w:sz w:val="32"/>
          <w:szCs w:val="32"/>
          <w:shd w:val="clear" w:color="auto" w:fill="FFFFFF"/>
        </w:rPr>
        <w:t>预收公共能耗费和电梯运行维护费的，每年度</w:t>
      </w:r>
      <w:r>
        <w:rPr>
          <w:rFonts w:hint="eastAsia" w:ascii="Times New Roman" w:hAnsi="Times New Roman" w:eastAsia="方正仿宋_GBK"/>
          <w:color w:val="auto"/>
          <w:kern w:val="0"/>
          <w:sz w:val="32"/>
          <w:szCs w:val="32"/>
        </w:rPr>
        <w:t>应</w:t>
      </w:r>
      <w:r>
        <w:rPr>
          <w:rFonts w:hint="eastAsia" w:ascii="Times New Roman" w:hAnsi="Times New Roman" w:eastAsia="方正仿宋_GBK"/>
          <w:color w:val="auto"/>
          <w:kern w:val="0"/>
          <w:sz w:val="32"/>
          <w:szCs w:val="32"/>
          <w:lang w:val="en-US" w:eastAsia="zh-CN"/>
        </w:rPr>
        <w:t>按时</w:t>
      </w:r>
      <w:r>
        <w:rPr>
          <w:rFonts w:hint="eastAsia" w:ascii="方正仿宋_GBK" w:eastAsia="方正仿宋_GBK"/>
          <w:color w:val="auto"/>
          <w:sz w:val="32"/>
          <w:szCs w:val="32"/>
          <w:shd w:val="clear" w:color="auto" w:fill="FFFFFF"/>
        </w:rPr>
        <w:t>与业主结</w:t>
      </w:r>
      <w:r>
        <w:rPr>
          <w:rFonts w:hint="eastAsia" w:ascii="方正仿宋_GBK" w:eastAsia="方正仿宋_GBK"/>
          <w:color w:val="auto"/>
          <w:sz w:val="32"/>
          <w:szCs w:val="32"/>
          <w:shd w:val="clear" w:color="auto" w:fill="FFFFFF"/>
          <w:lang w:val="en-US" w:eastAsia="zh-CN"/>
        </w:rPr>
        <w:t>清</w:t>
      </w:r>
      <w:r>
        <w:rPr>
          <w:rFonts w:hint="eastAsia" w:ascii="方正仿宋_GBK" w:eastAsia="方正仿宋_GBK"/>
          <w:color w:val="auto"/>
          <w:sz w:val="32"/>
          <w:szCs w:val="32"/>
          <w:shd w:val="clear" w:color="auto" w:fill="FFFFFF"/>
        </w:rPr>
        <w:t>上一年度费用，有合同约定的按约定执行，没有约定按多退少补原则，双方可约定具体履行方式，</w:t>
      </w:r>
      <w:r>
        <w:rPr>
          <w:rFonts w:hint="eastAsia" w:ascii="方正仿宋_GBK" w:eastAsia="方正仿宋_GBK"/>
          <w:color w:val="auto"/>
          <w:sz w:val="32"/>
          <w:szCs w:val="32"/>
          <w:shd w:val="clear" w:color="auto" w:fill="FFFFFF"/>
        </w:rPr>
        <w:t>接受业主和社会监督。</w:t>
      </w:r>
    </w:p>
    <w:p w14:paraId="29E2F20B">
      <w:pPr>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第三十</w:t>
      </w:r>
      <w:r>
        <w:rPr>
          <w:rFonts w:hint="eastAsia" w:ascii="Times New Roman" w:hAnsi="Times New Roman" w:eastAsia="方正黑体_GBK"/>
          <w:kern w:val="0"/>
          <w:sz w:val="32"/>
          <w:szCs w:val="32"/>
        </w:rPr>
        <w:t>七</w:t>
      </w:r>
      <w:r>
        <w:rPr>
          <w:rFonts w:ascii="Times New Roman" w:hAnsi="Times New Roman" w:eastAsia="方正黑体_GBK"/>
          <w:kern w:val="0"/>
          <w:sz w:val="32"/>
          <w:szCs w:val="32"/>
        </w:rPr>
        <w:t>条</w:t>
      </w:r>
      <w:r>
        <w:rPr>
          <w:rFonts w:ascii="Times New Roman" w:hAnsi="Times New Roman" w:eastAsia="仿宋_GB2312"/>
          <w:color w:val="C0504D" w:themeColor="accent2"/>
          <w:kern w:val="0"/>
          <w:sz w:val="32"/>
          <w:szCs w:val="32"/>
          <w14:textFill>
            <w14:solidFill>
              <w14:schemeClr w14:val="accent2"/>
            </w14:solidFill>
          </w14:textFill>
        </w:rPr>
        <w:t xml:space="preserve">  </w:t>
      </w:r>
      <w:r>
        <w:rPr>
          <w:rFonts w:ascii="Times New Roman" w:hAnsi="Times New Roman" w:eastAsia="方正仿宋_GBK"/>
          <w:color w:val="000000"/>
          <w:kern w:val="0"/>
          <w:sz w:val="32"/>
          <w:szCs w:val="32"/>
        </w:rPr>
        <w:t>物业服务收费应当体现自愿委托、服务有偿的基本要求，物业服务企业擅自扩大收费范围、提高收费标准，业主、物业使用人有权拒绝交纳。</w:t>
      </w:r>
    </w:p>
    <w:p w14:paraId="415FE7EE">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w:t>
      </w:r>
      <w:r>
        <w:rPr>
          <w:rFonts w:hint="eastAsia" w:ascii="Times New Roman" w:hAnsi="Times New Roman" w:eastAsia="方正黑体_GBK"/>
          <w:kern w:val="0"/>
          <w:sz w:val="32"/>
          <w:szCs w:val="32"/>
        </w:rPr>
        <w:t>三十八</w:t>
      </w:r>
      <w:r>
        <w:rPr>
          <w:rFonts w:ascii="Times New Roman" w:hAnsi="Times New Roman" w:eastAsia="方正黑体_GBK"/>
          <w:kern w:val="0"/>
          <w:sz w:val="32"/>
          <w:szCs w:val="32"/>
        </w:rPr>
        <w:t xml:space="preserve">条  </w:t>
      </w:r>
      <w:r>
        <w:rPr>
          <w:rFonts w:ascii="Times New Roman" w:hAnsi="Times New Roman" w:eastAsia="方正仿宋_GBK"/>
          <w:color w:val="000000"/>
          <w:kern w:val="0"/>
          <w:sz w:val="32"/>
          <w:szCs w:val="32"/>
        </w:rPr>
        <w:t>业主或者物业使用人应当按照物业服务合同的约定交纳物业服务费用。业主与物业使用人约定由物业使用人交纳物业服务费用的，从其约定，业主负连带交纳责任。物业所有权发生转移时，业主</w:t>
      </w:r>
      <w:r>
        <w:rPr>
          <w:rFonts w:hint="eastAsia" w:ascii="Times New Roman" w:hAnsi="Times New Roman" w:eastAsia="方正仿宋_GBK"/>
          <w:color w:val="000000"/>
          <w:kern w:val="0"/>
          <w:sz w:val="32"/>
          <w:szCs w:val="32"/>
        </w:rPr>
        <w:t>或物业使用人</w:t>
      </w:r>
      <w:r>
        <w:rPr>
          <w:rFonts w:ascii="Times New Roman" w:hAnsi="Times New Roman" w:eastAsia="方正仿宋_GBK"/>
          <w:color w:val="000000"/>
          <w:kern w:val="0"/>
          <w:sz w:val="32"/>
          <w:szCs w:val="32"/>
        </w:rPr>
        <w:t>应当与物业服务企业结清物业服务费用。</w:t>
      </w:r>
    </w:p>
    <w:p w14:paraId="613BE44C">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业主或者物业使用人对物业收费有异议的，可以依法调解。 </w:t>
      </w:r>
    </w:p>
    <w:p w14:paraId="6C9C4091">
      <w:pPr>
        <w:widowControl/>
        <w:adjustRightInd w:val="0"/>
        <w:snapToGrid w:val="0"/>
        <w:spacing w:line="560" w:lineRule="exact"/>
        <w:ind w:firstLine="640"/>
        <w:rPr>
          <w:rFonts w:ascii="方正楷体_GBK" w:hAnsi="方正楷体_GBK" w:eastAsia="方正楷体_GBK" w:cs="方正楷体_GBK"/>
          <w:color w:val="000000"/>
          <w:kern w:val="0"/>
          <w:sz w:val="24"/>
          <w:szCs w:val="24"/>
        </w:rPr>
      </w:pPr>
      <w:r>
        <w:rPr>
          <w:rFonts w:ascii="Times New Roman" w:hAnsi="Times New Roman" w:eastAsia="方正仿宋_GBK"/>
          <w:color w:val="000000"/>
          <w:kern w:val="0"/>
          <w:sz w:val="32"/>
          <w:szCs w:val="32"/>
        </w:rPr>
        <w:t>未按合同约定交纳的，业主委员会、物业服务企业应当督促其限期交纳；逾期拒不交纳的，物业服务企业可以向人民法院提起诉讼，依法追缴。</w:t>
      </w:r>
    </w:p>
    <w:p w14:paraId="449FD4C6">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w:t>
      </w:r>
      <w:r>
        <w:rPr>
          <w:rFonts w:hint="eastAsia" w:ascii="Times New Roman" w:hAnsi="Times New Roman" w:eastAsia="方正黑体_GBK"/>
          <w:kern w:val="0"/>
          <w:sz w:val="32"/>
          <w:szCs w:val="32"/>
        </w:rPr>
        <w:t>三十九</w:t>
      </w:r>
      <w:r>
        <w:rPr>
          <w:rFonts w:ascii="Times New Roman" w:hAnsi="Times New Roman" w:eastAsia="方正黑体_GBK"/>
          <w:kern w:val="0"/>
          <w:sz w:val="32"/>
          <w:szCs w:val="32"/>
        </w:rPr>
        <w:t>条</w:t>
      </w:r>
      <w:r>
        <w:rPr>
          <w:rFonts w:ascii="Times New Roman" w:hAnsi="Times New Roman" w:eastAsia="仿宋_GB2312"/>
          <w:kern w:val="0"/>
          <w:sz w:val="32"/>
          <w:szCs w:val="32"/>
        </w:rPr>
        <w:t xml:space="preserve">  市</w:t>
      </w:r>
      <w:r>
        <w:rPr>
          <w:rFonts w:ascii="Times New Roman" w:hAnsi="Times New Roman" w:eastAsia="方正仿宋_GBK"/>
          <w:color w:val="000000"/>
          <w:kern w:val="0"/>
          <w:sz w:val="32"/>
          <w:szCs w:val="32"/>
        </w:rPr>
        <w:t>价格主管部门、市物业管理行政主管部门应当会同</w:t>
      </w:r>
      <w:r>
        <w:rPr>
          <w:rFonts w:hint="eastAsia" w:ascii="Times New Roman" w:hAnsi="Times New Roman" w:eastAsia="方正仿宋_GBK"/>
          <w:color w:val="000000"/>
          <w:kern w:val="0"/>
          <w:sz w:val="32"/>
          <w:szCs w:val="32"/>
        </w:rPr>
        <w:t>属地政府及相关部门</w:t>
      </w:r>
      <w:r>
        <w:rPr>
          <w:rFonts w:ascii="Times New Roman" w:hAnsi="Times New Roman" w:eastAsia="方正仿宋_GBK"/>
          <w:color w:val="000000"/>
          <w:kern w:val="0"/>
          <w:sz w:val="32"/>
          <w:szCs w:val="32"/>
        </w:rPr>
        <w:t>加强对物业服务及收费行为的监督管理，指导物业服务企业规范收费行为。</w:t>
      </w:r>
    </w:p>
    <w:p w14:paraId="1CC62B7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 xml:space="preserve">第四十条  </w:t>
      </w:r>
      <w:r>
        <w:rPr>
          <w:rFonts w:ascii="Times New Roman" w:hAnsi="Times New Roman" w:eastAsia="方正仿宋_GBK"/>
          <w:color w:val="000000"/>
          <w:kern w:val="0"/>
          <w:sz w:val="32"/>
          <w:szCs w:val="32"/>
        </w:rPr>
        <w:t>物业服务企业违反物业服务合同和本实施</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规定收费的，由相关行政执法部门在各自职责范围内依据有关法律法规予以查处。</w:t>
      </w:r>
    </w:p>
    <w:p w14:paraId="7F115A59">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第四十</w:t>
      </w:r>
      <w:r>
        <w:rPr>
          <w:rFonts w:hint="eastAsia" w:ascii="Times New Roman" w:hAnsi="Times New Roman" w:eastAsia="方正黑体_GBK"/>
          <w:kern w:val="0"/>
          <w:sz w:val="32"/>
          <w:szCs w:val="32"/>
        </w:rPr>
        <w:t>一</w:t>
      </w:r>
      <w:r>
        <w:rPr>
          <w:rFonts w:ascii="Times New Roman" w:hAnsi="Times New Roman" w:eastAsia="方正黑体_GBK"/>
          <w:kern w:val="0"/>
          <w:sz w:val="32"/>
          <w:szCs w:val="32"/>
        </w:rPr>
        <w:t xml:space="preserve">条  </w:t>
      </w:r>
      <w:r>
        <w:rPr>
          <w:rFonts w:ascii="Times New Roman" w:hAnsi="Times New Roman" w:eastAsia="仿宋_GB2312"/>
          <w:kern w:val="0"/>
          <w:sz w:val="32"/>
          <w:szCs w:val="32"/>
        </w:rPr>
        <w:t>市</w:t>
      </w:r>
      <w:r>
        <w:rPr>
          <w:rFonts w:ascii="Times New Roman" w:hAnsi="Times New Roman" w:eastAsia="方正仿宋_GBK"/>
          <w:color w:val="000000"/>
          <w:kern w:val="0"/>
          <w:sz w:val="32"/>
          <w:szCs w:val="32"/>
        </w:rPr>
        <w:t>物业管理行政主管部门应当会同相关部门建立守信联合激励和失信联合惩戒机制，加强物业服务行业诚信管理。物业服务企业有超标准收费、强制或者变相强制收费、低于服务等级提供服务等行为被依法查处的，由相关部门纳入失信企业名单并给予相应惩戒。业主或者物业使用人有拖欠物业服务费用等行为且经法院判决仍拒绝交纳的，应纳入其个人信用档案。</w:t>
      </w:r>
    </w:p>
    <w:p w14:paraId="67D2010B">
      <w:pPr>
        <w:widowControl/>
        <w:adjustRightInd w:val="0"/>
        <w:snapToGrid w:val="0"/>
        <w:spacing w:line="560" w:lineRule="exact"/>
        <w:ind w:firstLine="640"/>
        <w:rPr>
          <w:rFonts w:ascii="Times New Roman" w:hAnsi="Times New Roman" w:eastAsia="方正仿宋_GBK"/>
          <w:color w:val="000000"/>
          <w:kern w:val="0"/>
          <w:sz w:val="32"/>
          <w:szCs w:val="32"/>
        </w:rPr>
      </w:pPr>
    </w:p>
    <w:p w14:paraId="373F090D">
      <w:pPr>
        <w:widowControl/>
        <w:numPr>
          <w:ilvl w:val="0"/>
          <w:numId w:val="1"/>
        </w:numPr>
        <w:adjustRightInd w:val="0"/>
        <w:snapToGrid w:val="0"/>
        <w:spacing w:line="560" w:lineRule="exact"/>
        <w:ind w:firstLine="0" w:firstLineChars="0"/>
        <w:jc w:val="center"/>
        <w:rPr>
          <w:rFonts w:ascii="Times New Roman" w:hAnsi="Times New Roman" w:eastAsia="方正黑体_GBK"/>
          <w:kern w:val="0"/>
          <w:sz w:val="32"/>
          <w:szCs w:val="32"/>
        </w:rPr>
      </w:pPr>
      <w:r>
        <w:rPr>
          <w:rFonts w:ascii="Times New Roman" w:hAnsi="Times New Roman" w:eastAsia="方正黑体_GBK"/>
          <w:kern w:val="0"/>
          <w:sz w:val="32"/>
          <w:szCs w:val="32"/>
        </w:rPr>
        <w:t>附则</w:t>
      </w:r>
    </w:p>
    <w:p w14:paraId="08869F57">
      <w:pPr>
        <w:widowControl/>
        <w:adjustRightInd w:val="0"/>
        <w:snapToGrid w:val="0"/>
        <w:spacing w:line="560" w:lineRule="exact"/>
        <w:ind w:firstLine="0" w:firstLineChars="0"/>
        <w:rPr>
          <w:rFonts w:ascii="Times New Roman" w:hAnsi="Times New Roman" w:eastAsia="方正黑体_GBK"/>
          <w:kern w:val="0"/>
          <w:sz w:val="32"/>
          <w:szCs w:val="32"/>
        </w:rPr>
      </w:pPr>
    </w:p>
    <w:p w14:paraId="0A9A0A72">
      <w:pPr>
        <w:widowControl/>
        <w:adjustRightInd w:val="0"/>
        <w:snapToGrid w:val="0"/>
        <w:spacing w:line="560" w:lineRule="exact"/>
        <w:ind w:firstLine="640"/>
        <w:rPr>
          <w:rFonts w:ascii="Times New Roman" w:hAnsi="Times New Roman" w:eastAsia="方正仿宋_GBK"/>
          <w:color w:val="auto"/>
          <w:kern w:val="0"/>
          <w:sz w:val="32"/>
          <w:szCs w:val="32"/>
        </w:rPr>
      </w:pPr>
      <w:r>
        <w:rPr>
          <w:rFonts w:ascii="Times New Roman" w:hAnsi="Times New Roman" w:eastAsia="方正黑体_GBK"/>
          <w:kern w:val="0"/>
          <w:sz w:val="32"/>
          <w:szCs w:val="32"/>
        </w:rPr>
        <w:t>第四十</w:t>
      </w:r>
      <w:r>
        <w:rPr>
          <w:rFonts w:hint="eastAsia" w:ascii="Times New Roman" w:hAnsi="Times New Roman" w:eastAsia="方正黑体_GBK"/>
          <w:kern w:val="0"/>
          <w:sz w:val="32"/>
          <w:szCs w:val="32"/>
        </w:rPr>
        <w:t>二</w:t>
      </w:r>
      <w:r>
        <w:rPr>
          <w:rFonts w:ascii="Times New Roman" w:hAnsi="Times New Roman" w:eastAsia="方正黑体_GBK"/>
          <w:kern w:val="0"/>
          <w:sz w:val="32"/>
          <w:szCs w:val="32"/>
        </w:rPr>
        <w:t>条</w:t>
      </w:r>
      <w:r>
        <w:rPr>
          <w:rFonts w:ascii="Times New Roman" w:hAnsi="Times New Roman" w:eastAsia="方正黑体_GBK"/>
          <w:color w:val="auto"/>
          <w:kern w:val="0"/>
          <w:sz w:val="32"/>
          <w:szCs w:val="32"/>
        </w:rPr>
        <w:t xml:space="preserve">  </w:t>
      </w:r>
      <w:r>
        <w:rPr>
          <w:rFonts w:ascii="Times New Roman" w:hAnsi="Times New Roman" w:eastAsia="方正仿宋_GBK"/>
          <w:color w:val="auto"/>
          <w:kern w:val="0"/>
          <w:sz w:val="32"/>
          <w:szCs w:val="32"/>
        </w:rPr>
        <w:t>保障性住房、安置房、房改房、老旧住宅小区前期物业服务收费按本</w:t>
      </w:r>
      <w:r>
        <w:rPr>
          <w:rFonts w:hint="eastAsia" w:ascii="Times New Roman" w:hAnsi="Times New Roman" w:eastAsia="方正仿宋_GBK"/>
          <w:color w:val="auto"/>
          <w:kern w:val="0"/>
          <w:sz w:val="32"/>
          <w:szCs w:val="32"/>
        </w:rPr>
        <w:t>办法</w:t>
      </w:r>
      <w:r>
        <w:rPr>
          <w:rFonts w:ascii="Times New Roman" w:hAnsi="Times New Roman" w:eastAsia="方正仿宋_GBK"/>
          <w:color w:val="auto"/>
          <w:kern w:val="0"/>
          <w:sz w:val="32"/>
          <w:szCs w:val="32"/>
        </w:rPr>
        <w:t>实施。</w:t>
      </w:r>
    </w:p>
    <w:p w14:paraId="08131218">
      <w:pPr>
        <w:widowControl/>
        <w:adjustRightInd w:val="0"/>
        <w:snapToGrid w:val="0"/>
        <w:spacing w:line="560" w:lineRule="exact"/>
        <w:ind w:firstLine="640"/>
        <w:rPr>
          <w:rFonts w:ascii="Times New Roman" w:hAnsi="Times New Roman" w:eastAsia="方正仿宋_GBK"/>
          <w:color w:val="auto"/>
          <w:kern w:val="0"/>
          <w:sz w:val="32"/>
          <w:szCs w:val="32"/>
        </w:rPr>
      </w:pPr>
      <w:r>
        <w:rPr>
          <w:rFonts w:ascii="Times New Roman" w:hAnsi="Times New Roman" w:eastAsia="方正黑体_GBK"/>
          <w:color w:val="auto"/>
          <w:kern w:val="0"/>
          <w:sz w:val="32"/>
          <w:szCs w:val="32"/>
        </w:rPr>
        <w:t>第四十</w:t>
      </w:r>
      <w:r>
        <w:rPr>
          <w:rFonts w:hint="eastAsia" w:ascii="Times New Roman" w:hAnsi="Times New Roman" w:eastAsia="方正黑体_GBK"/>
          <w:color w:val="auto"/>
          <w:kern w:val="0"/>
          <w:sz w:val="32"/>
          <w:szCs w:val="32"/>
        </w:rPr>
        <w:t>三</w:t>
      </w:r>
      <w:r>
        <w:rPr>
          <w:rFonts w:ascii="Times New Roman" w:hAnsi="Times New Roman" w:eastAsia="方正黑体_GBK"/>
          <w:color w:val="auto"/>
          <w:kern w:val="0"/>
          <w:sz w:val="32"/>
          <w:szCs w:val="32"/>
        </w:rPr>
        <w:t xml:space="preserve">条  </w:t>
      </w:r>
      <w:r>
        <w:rPr>
          <w:rFonts w:ascii="Times New Roman" w:hAnsi="Times New Roman" w:eastAsia="方正仿宋_GBK"/>
          <w:color w:val="auto"/>
          <w:kern w:val="0"/>
          <w:sz w:val="32"/>
          <w:szCs w:val="32"/>
        </w:rPr>
        <w:t>物业服务企业之外的其他管理人提供物业服务的，其收费可以参照本</w:t>
      </w:r>
      <w:r>
        <w:rPr>
          <w:rFonts w:hint="eastAsia" w:ascii="Times New Roman" w:hAnsi="Times New Roman" w:eastAsia="方正仿宋_GBK"/>
          <w:color w:val="auto"/>
          <w:kern w:val="0"/>
          <w:sz w:val="32"/>
          <w:szCs w:val="32"/>
        </w:rPr>
        <w:t>办法</w:t>
      </w:r>
      <w:r>
        <w:rPr>
          <w:rFonts w:ascii="Times New Roman" w:hAnsi="Times New Roman" w:eastAsia="方正仿宋_GBK"/>
          <w:color w:val="auto"/>
          <w:kern w:val="0"/>
          <w:sz w:val="32"/>
          <w:szCs w:val="32"/>
        </w:rPr>
        <w:t>执行。</w:t>
      </w:r>
    </w:p>
    <w:p w14:paraId="76D5CB48">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color w:val="auto"/>
          <w:kern w:val="0"/>
          <w:sz w:val="32"/>
          <w:szCs w:val="32"/>
        </w:rPr>
        <w:t>第四十</w:t>
      </w:r>
      <w:r>
        <w:rPr>
          <w:rFonts w:hint="eastAsia" w:ascii="Times New Roman" w:hAnsi="Times New Roman" w:eastAsia="方正黑体_GBK"/>
          <w:color w:val="auto"/>
          <w:kern w:val="0"/>
          <w:sz w:val="32"/>
          <w:szCs w:val="32"/>
        </w:rPr>
        <w:t>四</w:t>
      </w:r>
      <w:r>
        <w:rPr>
          <w:rFonts w:ascii="Times New Roman" w:hAnsi="Times New Roman" w:eastAsia="方正黑体_GBK"/>
          <w:color w:val="auto"/>
          <w:kern w:val="0"/>
          <w:sz w:val="32"/>
          <w:szCs w:val="32"/>
        </w:rPr>
        <w:t xml:space="preserve">条  </w:t>
      </w:r>
      <w:r>
        <w:rPr>
          <w:rFonts w:ascii="Times New Roman" w:hAnsi="Times New Roman" w:eastAsia="方正仿宋_GBK"/>
          <w:color w:val="auto"/>
          <w:kern w:val="0"/>
          <w:sz w:val="32"/>
          <w:szCs w:val="32"/>
        </w:rPr>
        <w:t>本</w:t>
      </w:r>
      <w:r>
        <w:rPr>
          <w:rFonts w:hint="eastAsia" w:ascii="Times New Roman" w:hAnsi="Times New Roman" w:eastAsia="方正仿宋_GBK"/>
          <w:color w:val="auto"/>
          <w:kern w:val="0"/>
          <w:sz w:val="32"/>
          <w:szCs w:val="32"/>
        </w:rPr>
        <w:t>办法</w:t>
      </w:r>
      <w:r>
        <w:rPr>
          <w:rFonts w:ascii="Times New Roman" w:hAnsi="Times New Roman" w:eastAsia="方正仿宋_GBK"/>
          <w:color w:val="auto"/>
          <w:kern w:val="0"/>
          <w:sz w:val="32"/>
          <w:szCs w:val="32"/>
        </w:rPr>
        <w:t>由宜兴市发展和改革委员会、宜兴市住房和城乡建设局</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lang w:val="en-US" w:eastAsia="zh-CN"/>
        </w:rPr>
        <w:t>宜兴市</w:t>
      </w:r>
      <w:r>
        <w:rPr>
          <w:rFonts w:hint="eastAsia" w:ascii="Times New Roman" w:hAnsi="Times New Roman" w:eastAsia="方正仿宋_GBK"/>
          <w:color w:val="auto"/>
          <w:kern w:val="0"/>
          <w:sz w:val="32"/>
          <w:szCs w:val="32"/>
          <w:lang w:eastAsia="zh-CN"/>
        </w:rPr>
        <w:t>市场监督管理局</w:t>
      </w:r>
      <w:r>
        <w:rPr>
          <w:rFonts w:ascii="Times New Roman" w:hAnsi="Times New Roman" w:eastAsia="方正仿宋_GBK"/>
          <w:color w:val="auto"/>
          <w:kern w:val="0"/>
          <w:sz w:val="32"/>
          <w:szCs w:val="32"/>
        </w:rPr>
        <w:t>在各自职</w:t>
      </w:r>
      <w:r>
        <w:rPr>
          <w:rFonts w:hint="eastAsia" w:ascii="Times New Roman" w:hAnsi="Times New Roman" w:eastAsia="方正仿宋_GBK"/>
          <w:color w:val="000000"/>
          <w:kern w:val="0"/>
          <w:sz w:val="32"/>
          <w:szCs w:val="32"/>
        </w:rPr>
        <w:t>权</w:t>
      </w:r>
      <w:r>
        <w:rPr>
          <w:rFonts w:ascii="Times New Roman" w:hAnsi="Times New Roman" w:eastAsia="方正仿宋_GBK"/>
          <w:color w:val="000000"/>
          <w:kern w:val="0"/>
          <w:sz w:val="32"/>
          <w:szCs w:val="32"/>
        </w:rPr>
        <w:t>范围内负责解释。</w:t>
      </w:r>
    </w:p>
    <w:p w14:paraId="438254F1">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黑体_GBK"/>
          <w:kern w:val="0"/>
          <w:sz w:val="32"/>
          <w:szCs w:val="32"/>
        </w:rPr>
        <w:t>第四十</w:t>
      </w:r>
      <w:r>
        <w:rPr>
          <w:rFonts w:hint="eastAsia" w:ascii="Times New Roman" w:hAnsi="Times New Roman" w:eastAsia="方正黑体_GBK"/>
          <w:kern w:val="0"/>
          <w:sz w:val="32"/>
          <w:szCs w:val="32"/>
        </w:rPr>
        <w:t>五</w:t>
      </w:r>
      <w:r>
        <w:rPr>
          <w:rFonts w:ascii="Times New Roman" w:hAnsi="Times New Roman" w:eastAsia="方正黑体_GBK"/>
          <w:kern w:val="0"/>
          <w:sz w:val="32"/>
          <w:szCs w:val="32"/>
        </w:rPr>
        <w:t xml:space="preserve">条  </w:t>
      </w:r>
      <w:r>
        <w:rPr>
          <w:rFonts w:ascii="Times New Roman" w:hAnsi="Times New Roman" w:eastAsia="方正仿宋_GBK"/>
          <w:color w:val="000000"/>
          <w:kern w:val="0"/>
          <w:sz w:val="32"/>
          <w:szCs w:val="32"/>
        </w:rPr>
        <w:t>本</w:t>
      </w:r>
      <w:r>
        <w:rPr>
          <w:rFonts w:hint="eastAsia" w:ascii="Times New Roman" w:hAnsi="Times New Roman" w:eastAsia="方正仿宋_GBK"/>
          <w:color w:val="000000"/>
          <w:kern w:val="0"/>
          <w:sz w:val="32"/>
          <w:szCs w:val="32"/>
        </w:rPr>
        <w:t>办法</w:t>
      </w:r>
      <w:r>
        <w:rPr>
          <w:rFonts w:ascii="Times New Roman" w:hAnsi="Times New Roman" w:eastAsia="方正仿宋_GBK"/>
          <w:color w:val="000000"/>
          <w:kern w:val="0"/>
          <w:sz w:val="32"/>
          <w:szCs w:val="32"/>
        </w:rPr>
        <w:t>自202</w:t>
      </w:r>
      <w:r>
        <w:rPr>
          <w:rFonts w:hint="eastAsia" w:ascii="Times New Roman" w:hAnsi="Times New Roman" w:eastAsia="方正仿宋_GBK"/>
          <w:color w:val="000000"/>
          <w:kern w:val="0"/>
          <w:sz w:val="32"/>
          <w:szCs w:val="32"/>
          <w:lang w:val="en-US" w:eastAsia="zh-CN"/>
        </w:rPr>
        <w:t>6</w:t>
      </w:r>
      <w:bookmarkStart w:id="0" w:name="_GoBack"/>
      <w:bookmarkEnd w:id="0"/>
      <w:r>
        <w:rPr>
          <w:rFonts w:ascii="Times New Roman" w:hAnsi="Times New Roman" w:eastAsia="方正仿宋_GBK"/>
          <w:color w:val="000000"/>
          <w:kern w:val="0"/>
          <w:sz w:val="32"/>
          <w:szCs w:val="32"/>
        </w:rPr>
        <w:t>年 月 日起施行，有效期</w:t>
      </w:r>
      <w:r>
        <w:rPr>
          <w:rFonts w:hint="eastAsia" w:ascii="Times New Roman" w:hAnsi="Times New Roman" w:eastAsia="方正仿宋_GBK"/>
          <w:color w:val="000000"/>
          <w:kern w:val="0"/>
          <w:sz w:val="32"/>
          <w:szCs w:val="32"/>
        </w:rPr>
        <w:t>5年。</w:t>
      </w:r>
      <w:r>
        <w:rPr>
          <w:rFonts w:hint="eastAsia" w:ascii="Times New Roman" w:hAnsi="Times New Roman" w:eastAsia="方正仿宋_GBK"/>
          <w:color w:val="000000"/>
          <w:kern w:val="0"/>
          <w:sz w:val="32"/>
          <w:szCs w:val="32"/>
          <w:lang w:eastAsia="zh-CN"/>
        </w:rPr>
        <w:t>此前有关规定与本办法</w:t>
      </w:r>
      <w:r>
        <w:rPr>
          <w:rFonts w:hint="eastAsia" w:ascii="Times New Roman" w:hAnsi="Times New Roman" w:eastAsia="方正仿宋_GBK"/>
          <w:color w:val="000000"/>
          <w:kern w:val="0"/>
          <w:sz w:val="32"/>
          <w:szCs w:val="32"/>
          <w:lang w:val="en-US" w:eastAsia="zh-CN"/>
        </w:rPr>
        <w:t>相抵触的，以本办法为准；</w:t>
      </w:r>
      <w:r>
        <w:rPr>
          <w:rFonts w:ascii="Times New Roman" w:hAnsi="Times New Roman" w:eastAsia="方正仿宋_GBK"/>
          <w:color w:val="000000"/>
          <w:kern w:val="0"/>
          <w:sz w:val="32"/>
          <w:szCs w:val="32"/>
        </w:rPr>
        <w:t xml:space="preserve">法律、法规、规章以及上级机关另有规定的，从其规定。 </w:t>
      </w:r>
    </w:p>
    <w:p w14:paraId="4BBF6ECF">
      <w:pPr>
        <w:widowControl/>
        <w:adjustRightInd w:val="0"/>
        <w:snapToGrid w:val="0"/>
        <w:spacing w:line="560" w:lineRule="exact"/>
        <w:ind w:firstLine="640"/>
        <w:rPr>
          <w:rFonts w:ascii="Times New Roman" w:hAnsi="Times New Roman" w:eastAsia="方正仿宋_GBK"/>
          <w:color w:val="000000"/>
          <w:kern w:val="0"/>
          <w:sz w:val="32"/>
          <w:szCs w:val="32"/>
        </w:rPr>
      </w:pPr>
    </w:p>
    <w:p w14:paraId="04676397">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附件：1. 非普通住宅认定标准</w:t>
      </w:r>
    </w:p>
    <w:p w14:paraId="1815FD2B">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2. 宜兴市普通住宅前期物业公共服务等级收费标准</w:t>
      </w:r>
    </w:p>
    <w:p w14:paraId="225DA7E3">
      <w:pPr>
        <w:widowControl/>
        <w:adjustRightInd w:val="0"/>
        <w:snapToGrid w:val="0"/>
        <w:spacing w:line="560" w:lineRule="exact"/>
        <w:ind w:firstLine="64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ab/>
      </w:r>
      <w:r>
        <w:rPr>
          <w:rFonts w:ascii="Times New Roman" w:hAnsi="Times New Roman" w:eastAsia="方正仿宋_GBK"/>
          <w:color w:val="000000"/>
          <w:kern w:val="0"/>
          <w:sz w:val="32"/>
          <w:szCs w:val="32"/>
        </w:rPr>
        <w:t>3. 宜兴市物业服务收费报备情况登记表</w:t>
      </w:r>
    </w:p>
    <w:p w14:paraId="15CDA151">
      <w:pPr>
        <w:widowControl/>
        <w:adjustRightInd w:val="0"/>
        <w:snapToGrid w:val="0"/>
        <w:spacing w:line="560" w:lineRule="exact"/>
        <w:ind w:firstLine="0" w:firstLineChars="0"/>
        <w:jc w:val="left"/>
        <w:rPr>
          <w:rFonts w:ascii="黑体" w:hAnsi="黑体" w:eastAsia="方正黑体_GBK" w:cs="Arial"/>
          <w:kern w:val="0"/>
          <w:sz w:val="32"/>
          <w:szCs w:val="32"/>
        </w:rPr>
      </w:pPr>
    </w:p>
    <w:p w14:paraId="3DD68FFF">
      <w:pPr>
        <w:widowControl/>
        <w:adjustRightInd w:val="0"/>
        <w:snapToGrid w:val="0"/>
        <w:spacing w:line="560" w:lineRule="exact"/>
        <w:ind w:firstLine="0" w:firstLineChars="0"/>
        <w:jc w:val="left"/>
        <w:rPr>
          <w:rFonts w:ascii="Times New Roman" w:hAnsi="Times New Roman" w:eastAsia="仿宋_GB2312" w:cs="Arial"/>
          <w:kern w:val="0"/>
          <w:sz w:val="32"/>
          <w:szCs w:val="32"/>
        </w:rPr>
      </w:pPr>
      <w:r>
        <w:rPr>
          <w:rFonts w:hint="eastAsia" w:ascii="黑体" w:hAnsi="黑体" w:eastAsia="方正黑体_GBK" w:cs="Arial"/>
          <w:kern w:val="0"/>
          <w:sz w:val="32"/>
          <w:szCs w:val="32"/>
        </w:rPr>
        <w:t>附件1</w:t>
      </w:r>
    </w:p>
    <w:p w14:paraId="5A58D430">
      <w:pPr>
        <w:widowControl/>
        <w:adjustRightInd w:val="0"/>
        <w:snapToGrid w:val="0"/>
        <w:spacing w:line="560" w:lineRule="exact"/>
        <w:ind w:firstLine="0" w:firstLineChars="0"/>
        <w:jc w:val="center"/>
        <w:rPr>
          <w:rFonts w:ascii="方正小标宋_GBK" w:eastAsia="方正小标宋_GBK"/>
          <w:color w:val="000000"/>
          <w:sz w:val="44"/>
          <w:szCs w:val="44"/>
        </w:rPr>
      </w:pPr>
      <w:r>
        <w:rPr>
          <w:rFonts w:hint="eastAsia" w:ascii="方正小标宋_GBK" w:eastAsia="方正小标宋_GBK"/>
          <w:color w:val="000000"/>
          <w:sz w:val="44"/>
          <w:szCs w:val="44"/>
        </w:rPr>
        <w:t>非普通住宅的认定标准</w:t>
      </w:r>
    </w:p>
    <w:p w14:paraId="0268968F">
      <w:pPr>
        <w:widowControl/>
        <w:adjustRightInd w:val="0"/>
        <w:snapToGrid w:val="0"/>
        <w:spacing w:line="560" w:lineRule="exact"/>
        <w:ind w:firstLine="0" w:firstLineChars="0"/>
        <w:jc w:val="center"/>
        <w:rPr>
          <w:rFonts w:ascii="方正小标宋_GBK" w:eastAsia="方正小标宋_GBK"/>
          <w:color w:val="000000"/>
          <w:sz w:val="44"/>
          <w:szCs w:val="4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818"/>
      </w:tblGrid>
      <w:tr w14:paraId="55E4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F6F1068">
            <w:pPr>
              <w:widowControl/>
              <w:adjustRightInd w:val="0"/>
              <w:snapToGrid w:val="0"/>
              <w:spacing w:line="560" w:lineRule="exact"/>
              <w:ind w:firstLine="0" w:firstLineChars="0"/>
              <w:jc w:val="center"/>
              <w:rPr>
                <w:rFonts w:ascii="Times New Roman" w:hAnsi="Times New Roman" w:eastAsia="仿宋_GB2312" w:cs="Arial"/>
                <w:kern w:val="0"/>
                <w:sz w:val="32"/>
                <w:szCs w:val="32"/>
              </w:rPr>
            </w:pPr>
          </w:p>
        </w:tc>
        <w:tc>
          <w:tcPr>
            <w:tcW w:w="7818" w:type="dxa"/>
            <w:vAlign w:val="center"/>
          </w:tcPr>
          <w:p w14:paraId="4D65107A">
            <w:pPr>
              <w:widowControl/>
              <w:adjustRightInd w:val="0"/>
              <w:snapToGrid w:val="0"/>
              <w:spacing w:line="560" w:lineRule="exact"/>
              <w:ind w:firstLine="0" w:firstLineChars="0"/>
              <w:jc w:val="center"/>
              <w:rPr>
                <w:rFonts w:ascii="Times New Roman" w:hAnsi="Times New Roman" w:eastAsia="方正仿宋_GBK"/>
                <w:kern w:val="0"/>
                <w:sz w:val="28"/>
                <w:szCs w:val="28"/>
              </w:rPr>
            </w:pPr>
            <w:r>
              <w:rPr>
                <w:rFonts w:ascii="Times New Roman" w:hAnsi="Times New Roman" w:eastAsia="方正仿宋_GBK"/>
                <w:color w:val="000000"/>
                <w:sz w:val="28"/>
                <w:szCs w:val="28"/>
              </w:rPr>
              <w:t>以下三个标准符合其一可认定为非普通住宅</w:t>
            </w:r>
          </w:p>
        </w:tc>
      </w:tr>
      <w:tr w14:paraId="59CB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28A825">
            <w:pPr>
              <w:widowControl/>
              <w:adjustRightInd w:val="0"/>
              <w:snapToGrid w:val="0"/>
              <w:spacing w:line="560" w:lineRule="exact"/>
              <w:ind w:firstLine="0" w:firstLineChars="0"/>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1</w:t>
            </w:r>
          </w:p>
        </w:tc>
        <w:tc>
          <w:tcPr>
            <w:tcW w:w="7818" w:type="dxa"/>
            <w:vAlign w:val="center"/>
          </w:tcPr>
          <w:p w14:paraId="21CF66A5">
            <w:pPr>
              <w:widowControl/>
              <w:adjustRightInd w:val="0"/>
              <w:snapToGrid w:val="0"/>
              <w:spacing w:line="560" w:lineRule="exact"/>
              <w:ind w:firstLine="0" w:firstLineChars="0"/>
              <w:rPr>
                <w:rFonts w:ascii="Times New Roman" w:hAnsi="Times New Roman" w:eastAsia="方正仿宋_GBK"/>
                <w:kern w:val="0"/>
                <w:sz w:val="28"/>
                <w:szCs w:val="28"/>
              </w:rPr>
            </w:pPr>
            <w:r>
              <w:rPr>
                <w:rFonts w:ascii="Times New Roman" w:hAnsi="Times New Roman" w:eastAsia="方正仿宋_GBK"/>
                <w:color w:val="000000"/>
                <w:sz w:val="28"/>
                <w:szCs w:val="28"/>
              </w:rPr>
              <w:t>住宅物业管理区域内建筑容积率在1以下（不含1）或4（含4）以上；</w:t>
            </w:r>
          </w:p>
        </w:tc>
      </w:tr>
      <w:tr w14:paraId="4757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F93D489">
            <w:pPr>
              <w:widowControl/>
              <w:adjustRightInd w:val="0"/>
              <w:snapToGrid w:val="0"/>
              <w:spacing w:line="560" w:lineRule="exact"/>
              <w:ind w:firstLine="0" w:firstLineChars="0"/>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2</w:t>
            </w:r>
          </w:p>
        </w:tc>
        <w:tc>
          <w:tcPr>
            <w:tcW w:w="7818" w:type="dxa"/>
            <w:vAlign w:val="center"/>
          </w:tcPr>
          <w:p w14:paraId="35297212">
            <w:pPr>
              <w:widowControl/>
              <w:spacing w:line="240" w:lineRule="auto"/>
              <w:ind w:firstLine="0" w:firstLineChars="0"/>
              <w:rPr>
                <w:rFonts w:ascii="Times New Roman" w:hAnsi="Times New Roman" w:eastAsia="方正仿宋_GBK"/>
                <w:kern w:val="0"/>
                <w:sz w:val="28"/>
                <w:szCs w:val="28"/>
              </w:rPr>
            </w:pPr>
            <w:r>
              <w:rPr>
                <w:rFonts w:ascii="Times New Roman" w:hAnsi="Times New Roman" w:eastAsia="方正仿宋_GBK"/>
                <w:color w:val="000000"/>
                <w:kern w:val="0"/>
                <w:sz w:val="28"/>
                <w:szCs w:val="28"/>
              </w:rPr>
              <w:t>同一物业管理区域内，住宅建筑均为低层住宅（指地面以上不超过3层，含3层）；或不超过5层（指地面5层，含5层）的多层住宅，且建筑形态为独立式别墅或联体式、叠加式住宅，或地面以上有部分叠加式（指标准层叠加）和平层式混合的，这一区域内的住宅均定义为非普通住宅；</w:t>
            </w:r>
          </w:p>
        </w:tc>
      </w:tr>
      <w:tr w14:paraId="2CFC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75793D">
            <w:pPr>
              <w:widowControl/>
              <w:adjustRightInd w:val="0"/>
              <w:snapToGrid w:val="0"/>
              <w:spacing w:line="560" w:lineRule="exact"/>
              <w:ind w:firstLine="0" w:firstLineChars="0"/>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3</w:t>
            </w:r>
          </w:p>
        </w:tc>
        <w:tc>
          <w:tcPr>
            <w:tcW w:w="7818" w:type="dxa"/>
            <w:vAlign w:val="center"/>
          </w:tcPr>
          <w:p w14:paraId="20DEA4A3">
            <w:pPr>
              <w:widowControl/>
              <w:spacing w:line="240" w:lineRule="auto"/>
              <w:ind w:firstLine="0" w:firstLineChars="0"/>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同一物业管理区域内，若有不同类型住宅的组团，住宅建筑均为低层住宅（指地面以上不超过3层，含3层）；或不超过5层（指地面5层,含5层）的多层住宅，且建筑形态为独立式别墅或联体式、叠加式住宅，或地面以上有部分叠加式（指标准层叠加）和平层式混合的；并且该组团与其他组团有较明显的道路或绿化带等明显区分的区域，则该组团内住宅可确定为非普通住宅。</w:t>
            </w:r>
          </w:p>
        </w:tc>
      </w:tr>
    </w:tbl>
    <w:p w14:paraId="56C72501">
      <w:pPr>
        <w:widowControl/>
        <w:adjustRightInd w:val="0"/>
        <w:snapToGrid w:val="0"/>
        <w:spacing w:line="560" w:lineRule="exact"/>
        <w:ind w:firstLine="0" w:firstLineChars="0"/>
        <w:jc w:val="center"/>
        <w:rPr>
          <w:rFonts w:ascii="Times New Roman" w:hAnsi="Times New Roman" w:eastAsia="仿宋_GB2312" w:cs="Arial"/>
          <w:kern w:val="0"/>
          <w:sz w:val="32"/>
          <w:szCs w:val="32"/>
        </w:rPr>
      </w:pPr>
    </w:p>
    <w:p w14:paraId="1FB8EBE8">
      <w:pPr>
        <w:widowControl/>
        <w:adjustRightInd w:val="0"/>
        <w:snapToGrid w:val="0"/>
        <w:spacing w:line="560" w:lineRule="exact"/>
        <w:ind w:firstLine="640"/>
        <w:jc w:val="left"/>
        <w:rPr>
          <w:rFonts w:ascii="Times New Roman" w:hAnsi="Times New Roman" w:eastAsia="仿宋_GB2312" w:cs="Arial"/>
          <w:kern w:val="0"/>
          <w:sz w:val="32"/>
          <w:szCs w:val="32"/>
        </w:rPr>
      </w:pPr>
    </w:p>
    <w:p w14:paraId="286CFC0B">
      <w:pPr>
        <w:widowControl/>
        <w:shd w:val="clear" w:color="auto" w:fill="FFFFFF"/>
        <w:snapToGrid w:val="0"/>
        <w:spacing w:line="560" w:lineRule="exact"/>
        <w:ind w:firstLine="0" w:firstLineChars="0"/>
        <w:rPr>
          <w:rFonts w:ascii="Times New Roman" w:hAnsi="黑体" w:eastAsia="方正黑体_GBK"/>
          <w:color w:val="000000"/>
          <w:kern w:val="0"/>
          <w:sz w:val="32"/>
          <w:szCs w:val="32"/>
        </w:rPr>
      </w:pPr>
    </w:p>
    <w:p w14:paraId="67A2D937">
      <w:pPr>
        <w:widowControl/>
        <w:shd w:val="clear" w:color="auto" w:fill="FFFFFF"/>
        <w:snapToGrid w:val="0"/>
        <w:spacing w:line="560" w:lineRule="exact"/>
        <w:ind w:firstLine="0" w:firstLineChars="0"/>
        <w:rPr>
          <w:rFonts w:ascii="Times New Roman" w:hAnsi="Times New Roman" w:eastAsia="方正黑体_GBK"/>
          <w:color w:val="000000"/>
          <w:kern w:val="0"/>
          <w:sz w:val="32"/>
          <w:szCs w:val="32"/>
        </w:rPr>
      </w:pPr>
      <w:r>
        <w:rPr>
          <w:rFonts w:ascii="Times New Roman" w:hAnsi="黑体" w:eastAsia="方正黑体_GBK"/>
          <w:color w:val="000000"/>
          <w:kern w:val="0"/>
          <w:sz w:val="32"/>
          <w:szCs w:val="32"/>
        </w:rPr>
        <w:t>附件</w:t>
      </w:r>
      <w:r>
        <w:rPr>
          <w:rFonts w:ascii="Times New Roman" w:hAnsi="Times New Roman" w:eastAsia="方正黑体_GBK"/>
          <w:color w:val="000000"/>
          <w:kern w:val="0"/>
          <w:sz w:val="32"/>
          <w:szCs w:val="32"/>
        </w:rPr>
        <w:t>2</w:t>
      </w:r>
      <w:r>
        <w:rPr>
          <w:rFonts w:ascii="Times New Roman" w:hAnsi="黑体" w:eastAsia="方正黑体_GBK"/>
          <w:color w:val="000000"/>
          <w:kern w:val="0"/>
          <w:sz w:val="32"/>
          <w:szCs w:val="32"/>
        </w:rPr>
        <w:t>：</w:t>
      </w:r>
    </w:p>
    <w:p w14:paraId="46842940">
      <w:pPr>
        <w:widowControl/>
        <w:snapToGrid w:val="0"/>
        <w:spacing w:line="560" w:lineRule="exact"/>
        <w:ind w:firstLine="463" w:firstLineChars="128"/>
        <w:jc w:val="center"/>
        <w:rPr>
          <w:rFonts w:ascii="方正黑体_GBK" w:hAnsi="Times New Roman" w:eastAsia="方正黑体_GBK"/>
          <w:color w:val="000000"/>
          <w:kern w:val="0"/>
          <w:sz w:val="36"/>
          <w:szCs w:val="36"/>
        </w:rPr>
      </w:pPr>
      <w:r>
        <w:rPr>
          <w:rFonts w:hint="eastAsia" w:ascii="方正黑体_GBK" w:hAnsi="Times New Roman" w:eastAsia="方正黑体_GBK"/>
          <w:b/>
          <w:bCs/>
          <w:color w:val="000000"/>
          <w:kern w:val="0"/>
          <w:sz w:val="36"/>
          <w:szCs w:val="36"/>
        </w:rPr>
        <w:t>宜兴市普通住宅物业服务等级一级服务标准</w:t>
      </w:r>
    </w:p>
    <w:p w14:paraId="3B446CB0">
      <w:pPr>
        <w:widowControl/>
        <w:snapToGrid w:val="0"/>
        <w:spacing w:line="480" w:lineRule="exact"/>
        <w:ind w:firstLine="307" w:firstLineChars="128"/>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(指导价0.50元/㎡·月，不含电梯运行维护费、公共能耗费)</w:t>
      </w:r>
    </w:p>
    <w:p w14:paraId="10C6966A">
      <w:pPr>
        <w:widowControl/>
        <w:snapToGrid w:val="0"/>
        <w:spacing w:line="480" w:lineRule="exact"/>
        <w:ind w:firstLine="307" w:firstLineChars="128"/>
        <w:jc w:val="center"/>
        <w:rPr>
          <w:rFonts w:ascii="方正仿宋_GBK" w:hAnsi="Times New Roman" w:eastAsia="方正仿宋_GBK"/>
          <w:color w:val="000000"/>
          <w:kern w:val="0"/>
          <w:sz w:val="24"/>
          <w:szCs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202"/>
        <w:gridCol w:w="2381"/>
        <w:gridCol w:w="5424"/>
      </w:tblGrid>
      <w:tr w14:paraId="015BB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43" w:hRule="atLeast"/>
        </w:trPr>
        <w:tc>
          <w:tcPr>
            <w:tcW w:w="1202" w:type="dxa"/>
            <w:shd w:val="clear" w:color="auto" w:fill="FFFFFF"/>
            <w:tcMar>
              <w:top w:w="0" w:type="dxa"/>
              <w:left w:w="108" w:type="dxa"/>
              <w:bottom w:w="0" w:type="dxa"/>
              <w:right w:w="108" w:type="dxa"/>
            </w:tcMar>
            <w:vAlign w:val="center"/>
          </w:tcPr>
          <w:p w14:paraId="64A3C48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381" w:type="dxa"/>
            <w:shd w:val="clear" w:color="auto" w:fill="FFFFFF"/>
            <w:tcMar>
              <w:top w:w="0" w:type="dxa"/>
              <w:left w:w="108" w:type="dxa"/>
              <w:bottom w:w="0" w:type="dxa"/>
              <w:right w:w="108" w:type="dxa"/>
            </w:tcMar>
            <w:vAlign w:val="center"/>
          </w:tcPr>
          <w:p w14:paraId="1977AF4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5424" w:type="dxa"/>
            <w:shd w:val="clear" w:color="auto" w:fill="FFFFFF"/>
            <w:tcMar>
              <w:top w:w="0" w:type="dxa"/>
              <w:left w:w="108" w:type="dxa"/>
              <w:bottom w:w="0" w:type="dxa"/>
              <w:right w:w="108" w:type="dxa"/>
            </w:tcMar>
            <w:vAlign w:val="center"/>
          </w:tcPr>
          <w:p w14:paraId="17B3A61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2E0FF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restart"/>
            <w:shd w:val="clear" w:color="auto" w:fill="FFFFFF"/>
            <w:tcMar>
              <w:top w:w="0" w:type="dxa"/>
              <w:left w:w="108" w:type="dxa"/>
              <w:bottom w:w="0" w:type="dxa"/>
              <w:right w:w="108" w:type="dxa"/>
            </w:tcMar>
            <w:vAlign w:val="center"/>
          </w:tcPr>
          <w:p w14:paraId="0A39421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7C744D8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381" w:type="dxa"/>
            <w:shd w:val="clear" w:color="auto" w:fill="FFFFFF"/>
            <w:tcMar>
              <w:top w:w="0" w:type="dxa"/>
              <w:left w:w="108" w:type="dxa"/>
              <w:bottom w:w="0" w:type="dxa"/>
              <w:right w:w="108" w:type="dxa"/>
            </w:tcMar>
            <w:vAlign w:val="center"/>
          </w:tcPr>
          <w:p w14:paraId="2A68B8A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5424" w:type="dxa"/>
            <w:shd w:val="clear" w:color="auto" w:fill="FFFFFF"/>
            <w:tcMar>
              <w:top w:w="0" w:type="dxa"/>
              <w:left w:w="108" w:type="dxa"/>
              <w:bottom w:w="0" w:type="dxa"/>
              <w:right w:w="108" w:type="dxa"/>
            </w:tcMar>
            <w:vAlign w:val="center"/>
          </w:tcPr>
          <w:p w14:paraId="25E38E8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1、小区内设置管理处。 </w:t>
            </w:r>
          </w:p>
          <w:p w14:paraId="4B78ECB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2、配置办公家具、电话等办公设施及办公用品。 </w:t>
            </w:r>
          </w:p>
        </w:tc>
      </w:tr>
      <w:tr w14:paraId="1E450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03BECBA1">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117E6F4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424" w:type="dxa"/>
            <w:shd w:val="clear" w:color="auto" w:fill="FFFFFF"/>
            <w:tcMar>
              <w:top w:w="0" w:type="dxa"/>
              <w:left w:w="108" w:type="dxa"/>
              <w:bottom w:w="0" w:type="dxa"/>
              <w:right w:w="108" w:type="dxa"/>
            </w:tcMar>
            <w:vAlign w:val="center"/>
          </w:tcPr>
          <w:p w14:paraId="7E30411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1、小区经理有物业管理员上岗证。 </w:t>
            </w:r>
          </w:p>
          <w:p w14:paraId="36714EB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2、管理人员挂牌上岗，仪表整洁规范。</w:t>
            </w:r>
          </w:p>
        </w:tc>
      </w:tr>
      <w:tr w14:paraId="0C76B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4E01F4A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3A680C3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5424" w:type="dxa"/>
            <w:shd w:val="clear" w:color="auto" w:fill="FFFFFF"/>
            <w:tcMar>
              <w:top w:w="0" w:type="dxa"/>
              <w:left w:w="108" w:type="dxa"/>
              <w:bottom w:w="0" w:type="dxa"/>
              <w:right w:w="108" w:type="dxa"/>
            </w:tcMar>
            <w:vAlign w:val="center"/>
          </w:tcPr>
          <w:p w14:paraId="7F4CDC7A">
            <w:pPr>
              <w:widowControl/>
              <w:snapToGrid w:val="0"/>
              <w:spacing w:line="400" w:lineRule="exact"/>
              <w:ind w:right="-155"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管理处周一至周五每天8小时业务接待。</w:t>
            </w:r>
          </w:p>
        </w:tc>
      </w:tr>
      <w:tr w14:paraId="2B810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46" w:hRule="atLeast"/>
        </w:trPr>
        <w:tc>
          <w:tcPr>
            <w:tcW w:w="1202" w:type="dxa"/>
            <w:vMerge w:val="continue"/>
            <w:shd w:val="clear" w:color="auto" w:fill="FFFFFF"/>
            <w:vAlign w:val="center"/>
          </w:tcPr>
          <w:p w14:paraId="074B390D">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5ED2C2C0">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0C746B0B">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3013D1C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5424" w:type="dxa"/>
            <w:shd w:val="clear" w:color="auto" w:fill="FFFFFF"/>
            <w:tcMar>
              <w:top w:w="0" w:type="dxa"/>
              <w:left w:w="108" w:type="dxa"/>
              <w:bottom w:w="0" w:type="dxa"/>
              <w:right w:w="108" w:type="dxa"/>
            </w:tcMar>
            <w:vAlign w:val="center"/>
          </w:tcPr>
          <w:p w14:paraId="627FCD9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1、受理业主或使用人报修。</w:t>
            </w:r>
          </w:p>
          <w:p w14:paraId="3E4B05D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2、对业主或使用人的投诉有答复处理。</w:t>
            </w:r>
          </w:p>
          <w:p w14:paraId="04FBDB8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3、公示服务标准和收费标准，每年向业主公布财务状况一次，公共水电费能耗分摊每年向业主公布一次。</w:t>
            </w:r>
          </w:p>
          <w:p w14:paraId="2672603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4、建立物业服务基础档案。</w:t>
            </w:r>
          </w:p>
          <w:p w14:paraId="75AA9F6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5、有装修预审管理制度，对不符合规定的行为、现象劝阻、制止或报告。</w:t>
            </w:r>
          </w:p>
        </w:tc>
      </w:tr>
      <w:tr w14:paraId="11B48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restart"/>
            <w:shd w:val="clear" w:color="auto" w:fill="FFFFFF"/>
            <w:tcMar>
              <w:top w:w="0" w:type="dxa"/>
              <w:left w:w="108" w:type="dxa"/>
              <w:bottom w:w="0" w:type="dxa"/>
              <w:right w:w="108" w:type="dxa"/>
            </w:tcMar>
            <w:vAlign w:val="center"/>
          </w:tcPr>
          <w:p w14:paraId="5F76AEF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0265486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381" w:type="dxa"/>
            <w:shd w:val="clear" w:color="auto" w:fill="FFFFFF"/>
            <w:tcMar>
              <w:top w:w="0" w:type="dxa"/>
              <w:left w:w="108" w:type="dxa"/>
              <w:bottom w:w="0" w:type="dxa"/>
              <w:right w:w="108" w:type="dxa"/>
            </w:tcMar>
            <w:vAlign w:val="center"/>
          </w:tcPr>
          <w:p w14:paraId="5680121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5424" w:type="dxa"/>
            <w:shd w:val="clear" w:color="auto" w:fill="FFFFFF"/>
            <w:tcMar>
              <w:top w:w="0" w:type="dxa"/>
              <w:left w:w="108" w:type="dxa"/>
              <w:bottom w:w="0" w:type="dxa"/>
              <w:right w:w="108" w:type="dxa"/>
            </w:tcMar>
            <w:vAlign w:val="center"/>
          </w:tcPr>
          <w:p w14:paraId="23C30A8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每半月打扫1次楼道。</w:t>
            </w:r>
          </w:p>
        </w:tc>
      </w:tr>
      <w:tr w14:paraId="3A50C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2A7FEB90">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44CCD2C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电梯及电梯厅保洁</w:t>
            </w:r>
          </w:p>
        </w:tc>
        <w:tc>
          <w:tcPr>
            <w:tcW w:w="5424" w:type="dxa"/>
            <w:shd w:val="clear" w:color="auto" w:fill="FFFFFF"/>
            <w:tcMar>
              <w:top w:w="0" w:type="dxa"/>
              <w:left w:w="108" w:type="dxa"/>
              <w:bottom w:w="0" w:type="dxa"/>
              <w:right w:w="108" w:type="dxa"/>
            </w:tcMar>
            <w:vAlign w:val="center"/>
          </w:tcPr>
          <w:p w14:paraId="14D2755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每日清扫1次电梯轿厢。</w:t>
            </w:r>
          </w:p>
        </w:tc>
      </w:tr>
      <w:tr w14:paraId="4A124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5" w:hRule="atLeast"/>
        </w:trPr>
        <w:tc>
          <w:tcPr>
            <w:tcW w:w="1202" w:type="dxa"/>
            <w:vMerge w:val="continue"/>
            <w:shd w:val="clear" w:color="auto" w:fill="FFFFFF"/>
            <w:vAlign w:val="center"/>
          </w:tcPr>
          <w:p w14:paraId="36398D3A">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63D7C2E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5424" w:type="dxa"/>
            <w:shd w:val="clear" w:color="auto" w:fill="FFFFFF"/>
            <w:tcMar>
              <w:top w:w="0" w:type="dxa"/>
              <w:left w:w="108" w:type="dxa"/>
              <w:bottom w:w="0" w:type="dxa"/>
              <w:right w:w="108" w:type="dxa"/>
            </w:tcMar>
            <w:vAlign w:val="center"/>
          </w:tcPr>
          <w:p w14:paraId="11AE620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w:t>
            </w:r>
          </w:p>
        </w:tc>
      </w:tr>
      <w:tr w14:paraId="71E37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1202" w:type="dxa"/>
            <w:vMerge w:val="continue"/>
            <w:shd w:val="clear" w:color="auto" w:fill="FFFFFF"/>
            <w:vAlign w:val="center"/>
          </w:tcPr>
          <w:p w14:paraId="5444162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42F34FF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5424" w:type="dxa"/>
            <w:shd w:val="clear" w:color="auto" w:fill="FFFFFF"/>
            <w:tcMar>
              <w:top w:w="0" w:type="dxa"/>
              <w:left w:w="108" w:type="dxa"/>
              <w:bottom w:w="0" w:type="dxa"/>
              <w:right w:w="108" w:type="dxa"/>
            </w:tcMar>
            <w:vAlign w:val="center"/>
          </w:tcPr>
          <w:p w14:paraId="53653D6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绿化带每两天清扫1次，道路每日清扫1次。</w:t>
            </w:r>
          </w:p>
        </w:tc>
      </w:tr>
      <w:tr w14:paraId="306F7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202" w:type="dxa"/>
            <w:vMerge w:val="continue"/>
            <w:shd w:val="clear" w:color="auto" w:fill="FFFFFF"/>
            <w:vAlign w:val="center"/>
          </w:tcPr>
          <w:p w14:paraId="5BBA27D0">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5A21F2D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5424" w:type="dxa"/>
            <w:shd w:val="clear" w:color="auto" w:fill="FFFFFF"/>
            <w:tcMar>
              <w:top w:w="0" w:type="dxa"/>
              <w:left w:w="108" w:type="dxa"/>
              <w:bottom w:w="0" w:type="dxa"/>
              <w:right w:w="108" w:type="dxa"/>
            </w:tcMar>
            <w:vAlign w:val="center"/>
          </w:tcPr>
          <w:p w14:paraId="2AB513E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垃圾每日清运1次。</w:t>
            </w:r>
          </w:p>
        </w:tc>
      </w:tr>
      <w:tr w14:paraId="26E1A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5533077F">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36873D5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5424" w:type="dxa"/>
            <w:shd w:val="clear" w:color="auto" w:fill="FFFFFF"/>
            <w:tcMar>
              <w:top w:w="0" w:type="dxa"/>
              <w:left w:w="108" w:type="dxa"/>
              <w:bottom w:w="0" w:type="dxa"/>
              <w:right w:w="108" w:type="dxa"/>
            </w:tcMar>
            <w:vAlign w:val="center"/>
          </w:tcPr>
          <w:p w14:paraId="1F34E6B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小区内定点设置垃圾收集箱或点，每日定时清理一次；垃圾收集箱或点周围地面无散落垃圾、无异味，每月清洗1次。</w:t>
            </w:r>
          </w:p>
        </w:tc>
      </w:tr>
      <w:tr w14:paraId="4D4EF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1589DD77">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51C7863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5424" w:type="dxa"/>
            <w:shd w:val="clear" w:color="auto" w:fill="FFFFFF"/>
            <w:tcMar>
              <w:top w:w="0" w:type="dxa"/>
              <w:left w:w="108" w:type="dxa"/>
              <w:bottom w:w="0" w:type="dxa"/>
              <w:right w:w="108" w:type="dxa"/>
            </w:tcMar>
            <w:vAlign w:val="center"/>
          </w:tcPr>
          <w:p w14:paraId="53AD331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灭鼠灭蚊等每年至少消杀1次。</w:t>
            </w:r>
          </w:p>
        </w:tc>
      </w:tr>
      <w:tr w14:paraId="1D7F2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3A57193D">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68C7CAF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5424" w:type="dxa"/>
            <w:shd w:val="clear" w:color="auto" w:fill="FFFFFF"/>
            <w:tcMar>
              <w:top w:w="0" w:type="dxa"/>
              <w:left w:w="108" w:type="dxa"/>
              <w:bottom w:w="0" w:type="dxa"/>
              <w:right w:w="108" w:type="dxa"/>
            </w:tcMar>
            <w:vAlign w:val="center"/>
          </w:tcPr>
          <w:p w14:paraId="342B837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每半年清理1次。</w:t>
            </w:r>
          </w:p>
        </w:tc>
      </w:tr>
      <w:tr w14:paraId="4CB9F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1202" w:type="dxa"/>
            <w:vMerge w:val="restart"/>
            <w:shd w:val="clear" w:color="auto" w:fill="FFFFFF"/>
            <w:tcMar>
              <w:top w:w="0" w:type="dxa"/>
              <w:left w:w="108" w:type="dxa"/>
              <w:bottom w:w="0" w:type="dxa"/>
              <w:right w:w="108" w:type="dxa"/>
            </w:tcMar>
            <w:vAlign w:val="center"/>
          </w:tcPr>
          <w:p w14:paraId="52E0FDF6">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4E5C193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381" w:type="dxa"/>
            <w:shd w:val="clear" w:color="auto" w:fill="FFFFFF"/>
            <w:tcMar>
              <w:top w:w="0" w:type="dxa"/>
              <w:left w:w="108" w:type="dxa"/>
              <w:bottom w:w="0" w:type="dxa"/>
              <w:right w:w="108" w:type="dxa"/>
            </w:tcMar>
            <w:vAlign w:val="center"/>
          </w:tcPr>
          <w:p w14:paraId="633481F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5424" w:type="dxa"/>
            <w:shd w:val="clear" w:color="auto" w:fill="FFFFFF"/>
            <w:tcMar>
              <w:top w:w="0" w:type="dxa"/>
              <w:left w:w="108" w:type="dxa"/>
              <w:bottom w:w="0" w:type="dxa"/>
              <w:right w:w="108" w:type="dxa"/>
            </w:tcMar>
            <w:vAlign w:val="center"/>
          </w:tcPr>
          <w:p w14:paraId="3206173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发现损坏进行修复。</w:t>
            </w:r>
          </w:p>
        </w:tc>
      </w:tr>
      <w:tr w14:paraId="0B71C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0" w:hRule="atLeast"/>
        </w:trPr>
        <w:tc>
          <w:tcPr>
            <w:tcW w:w="1202" w:type="dxa"/>
            <w:vMerge w:val="continue"/>
            <w:shd w:val="clear" w:color="auto" w:fill="FFFFFF"/>
            <w:vAlign w:val="center"/>
          </w:tcPr>
          <w:p w14:paraId="02748B2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0538262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5424" w:type="dxa"/>
            <w:shd w:val="clear" w:color="auto" w:fill="FFFFFF"/>
            <w:tcMar>
              <w:top w:w="0" w:type="dxa"/>
              <w:left w:w="108" w:type="dxa"/>
              <w:bottom w:w="0" w:type="dxa"/>
              <w:right w:w="108" w:type="dxa"/>
            </w:tcMar>
            <w:vAlign w:val="center"/>
          </w:tcPr>
          <w:p w14:paraId="6159EBC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道路、路面、侧石、井盖等，发现损坏进行修复。</w:t>
            </w:r>
          </w:p>
        </w:tc>
      </w:tr>
      <w:tr w14:paraId="71789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4" w:hRule="atLeast"/>
        </w:trPr>
        <w:tc>
          <w:tcPr>
            <w:tcW w:w="1202" w:type="dxa"/>
            <w:vMerge w:val="continue"/>
            <w:shd w:val="clear" w:color="auto" w:fill="FFFFFF"/>
            <w:vAlign w:val="center"/>
          </w:tcPr>
          <w:p w14:paraId="068EDF37">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34497DA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5424" w:type="dxa"/>
            <w:shd w:val="clear" w:color="auto" w:fill="FFFFFF"/>
            <w:tcMar>
              <w:top w:w="0" w:type="dxa"/>
              <w:left w:w="108" w:type="dxa"/>
              <w:bottom w:w="0" w:type="dxa"/>
              <w:right w:w="108" w:type="dxa"/>
            </w:tcMar>
            <w:vAlign w:val="center"/>
          </w:tcPr>
          <w:p w14:paraId="0389A88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发现堵塞及时疏通。</w:t>
            </w:r>
          </w:p>
        </w:tc>
      </w:tr>
      <w:tr w14:paraId="09DA6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trPr>
        <w:tc>
          <w:tcPr>
            <w:tcW w:w="1202" w:type="dxa"/>
            <w:vMerge w:val="continue"/>
            <w:shd w:val="clear" w:color="auto" w:fill="FFFFFF"/>
            <w:vAlign w:val="center"/>
          </w:tcPr>
          <w:p w14:paraId="7CAAD79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251AFB4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5424" w:type="dxa"/>
            <w:shd w:val="clear" w:color="auto" w:fill="FFFFFF"/>
            <w:tcMar>
              <w:top w:w="0" w:type="dxa"/>
              <w:left w:w="108" w:type="dxa"/>
              <w:bottom w:w="0" w:type="dxa"/>
              <w:right w:w="108" w:type="dxa"/>
            </w:tcMar>
            <w:vAlign w:val="center"/>
          </w:tcPr>
          <w:p w14:paraId="01047A5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饮用水水池(箱)每年清洗消毒1次。</w:t>
            </w:r>
          </w:p>
        </w:tc>
      </w:tr>
      <w:tr w14:paraId="4D63F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5" w:hRule="atLeast"/>
        </w:trPr>
        <w:tc>
          <w:tcPr>
            <w:tcW w:w="1202" w:type="dxa"/>
            <w:vMerge w:val="continue"/>
            <w:shd w:val="clear" w:color="auto" w:fill="FFFFFF"/>
            <w:vAlign w:val="center"/>
          </w:tcPr>
          <w:p w14:paraId="59D312E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42824F5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5424" w:type="dxa"/>
            <w:shd w:val="clear" w:color="auto" w:fill="FFFFFF"/>
            <w:tcMar>
              <w:top w:w="0" w:type="dxa"/>
              <w:left w:w="108" w:type="dxa"/>
              <w:bottom w:w="0" w:type="dxa"/>
              <w:right w:w="108" w:type="dxa"/>
            </w:tcMar>
            <w:vAlign w:val="center"/>
          </w:tcPr>
          <w:p w14:paraId="3EBA2FC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消防设施设备可随时启用，消防通道畅通。</w:t>
            </w:r>
          </w:p>
        </w:tc>
      </w:tr>
      <w:tr w14:paraId="2E96F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trPr>
        <w:tc>
          <w:tcPr>
            <w:tcW w:w="1202" w:type="dxa"/>
            <w:vMerge w:val="restart"/>
            <w:shd w:val="clear" w:color="auto" w:fill="FFFFFF"/>
            <w:tcMar>
              <w:top w:w="0" w:type="dxa"/>
              <w:left w:w="108" w:type="dxa"/>
              <w:bottom w:w="0" w:type="dxa"/>
              <w:right w:w="108" w:type="dxa"/>
            </w:tcMar>
            <w:vAlign w:val="center"/>
          </w:tcPr>
          <w:p w14:paraId="2D94543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园林绿化养护与管理</w:t>
            </w:r>
          </w:p>
        </w:tc>
        <w:tc>
          <w:tcPr>
            <w:tcW w:w="2381" w:type="dxa"/>
            <w:shd w:val="clear" w:color="auto" w:fill="FFFFFF"/>
            <w:tcMar>
              <w:top w:w="0" w:type="dxa"/>
              <w:left w:w="108" w:type="dxa"/>
              <w:bottom w:w="0" w:type="dxa"/>
              <w:right w:w="108" w:type="dxa"/>
            </w:tcMar>
            <w:vAlign w:val="center"/>
          </w:tcPr>
          <w:p w14:paraId="0B3636A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5424" w:type="dxa"/>
            <w:shd w:val="clear" w:color="auto" w:fill="FFFFFF"/>
            <w:tcMar>
              <w:top w:w="0" w:type="dxa"/>
              <w:left w:w="108" w:type="dxa"/>
              <w:bottom w:w="0" w:type="dxa"/>
              <w:right w:w="108" w:type="dxa"/>
            </w:tcMar>
            <w:vAlign w:val="center"/>
          </w:tcPr>
          <w:p w14:paraId="6DD05C5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每年修剪2次，除虫施肥每年1次。</w:t>
            </w:r>
          </w:p>
        </w:tc>
      </w:tr>
      <w:tr w14:paraId="73A8F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1202" w:type="dxa"/>
            <w:vMerge w:val="continue"/>
            <w:shd w:val="clear" w:color="auto" w:fill="FFFFFF"/>
            <w:vAlign w:val="center"/>
          </w:tcPr>
          <w:p w14:paraId="2BF51681">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2696ED2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5424" w:type="dxa"/>
            <w:shd w:val="clear" w:color="auto" w:fill="FFFFFF"/>
            <w:tcMar>
              <w:top w:w="0" w:type="dxa"/>
              <w:left w:w="108" w:type="dxa"/>
              <w:bottom w:w="0" w:type="dxa"/>
              <w:right w:w="108" w:type="dxa"/>
            </w:tcMar>
            <w:vAlign w:val="center"/>
          </w:tcPr>
          <w:p w14:paraId="531469F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每年修剪1次，除虫施肥每年1次。</w:t>
            </w:r>
          </w:p>
        </w:tc>
      </w:tr>
      <w:tr w14:paraId="421AA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restart"/>
            <w:shd w:val="clear" w:color="auto" w:fill="FFFFFF"/>
            <w:tcMar>
              <w:top w:w="0" w:type="dxa"/>
              <w:left w:w="108" w:type="dxa"/>
              <w:bottom w:w="0" w:type="dxa"/>
              <w:right w:w="108" w:type="dxa"/>
            </w:tcMar>
            <w:vAlign w:val="center"/>
          </w:tcPr>
          <w:p w14:paraId="72753B3B">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7D7F9B01">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64F797A3">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1463C3D6">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1BE947A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安全防范</w:t>
            </w:r>
          </w:p>
        </w:tc>
        <w:tc>
          <w:tcPr>
            <w:tcW w:w="2381" w:type="dxa"/>
            <w:shd w:val="clear" w:color="auto" w:fill="FFFFFF"/>
            <w:tcMar>
              <w:top w:w="0" w:type="dxa"/>
              <w:left w:w="108" w:type="dxa"/>
              <w:bottom w:w="0" w:type="dxa"/>
              <w:right w:w="108" w:type="dxa"/>
            </w:tcMar>
            <w:vAlign w:val="center"/>
          </w:tcPr>
          <w:p w14:paraId="75ECDB7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424" w:type="dxa"/>
            <w:shd w:val="clear" w:color="auto" w:fill="FFFFFF"/>
            <w:tcMar>
              <w:top w:w="0" w:type="dxa"/>
              <w:left w:w="108" w:type="dxa"/>
              <w:bottom w:w="0" w:type="dxa"/>
              <w:right w:w="108" w:type="dxa"/>
            </w:tcMar>
            <w:vAlign w:val="center"/>
          </w:tcPr>
          <w:p w14:paraId="14F1119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1、专职保安人员，身体健康，工作认真负责。</w:t>
            </w:r>
          </w:p>
          <w:p w14:paraId="534A84C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2、对小区日常护卫事项做出正确反应，能正确使用消防器材。</w:t>
            </w:r>
          </w:p>
        </w:tc>
      </w:tr>
      <w:tr w14:paraId="0FC4B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02" w:type="dxa"/>
            <w:vMerge w:val="continue"/>
            <w:shd w:val="clear" w:color="auto" w:fill="FFFFFF"/>
            <w:vAlign w:val="center"/>
          </w:tcPr>
          <w:p w14:paraId="77F1977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561DD63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5424" w:type="dxa"/>
            <w:shd w:val="clear" w:color="auto" w:fill="FFFFFF"/>
            <w:tcMar>
              <w:top w:w="0" w:type="dxa"/>
              <w:left w:w="108" w:type="dxa"/>
              <w:bottom w:w="0" w:type="dxa"/>
              <w:right w:w="108" w:type="dxa"/>
            </w:tcMar>
            <w:vAlign w:val="center"/>
          </w:tcPr>
          <w:p w14:paraId="6447961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1、保证1个主出入口24小时进出、值班看守。</w:t>
            </w:r>
          </w:p>
          <w:p w14:paraId="4424170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2、对进出小区的车辆进行管理和疏导，保持出入口道路畅通。</w:t>
            </w:r>
          </w:p>
        </w:tc>
      </w:tr>
      <w:tr w14:paraId="06BE0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1202" w:type="dxa"/>
            <w:vMerge w:val="continue"/>
            <w:shd w:val="clear" w:color="auto" w:fill="FFFFFF"/>
            <w:vAlign w:val="center"/>
          </w:tcPr>
          <w:p w14:paraId="6CF6D33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698FE7F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5424" w:type="dxa"/>
            <w:shd w:val="clear" w:color="auto" w:fill="FFFFFF"/>
            <w:tcMar>
              <w:top w:w="0" w:type="dxa"/>
              <w:left w:w="108" w:type="dxa"/>
              <w:bottom w:w="0" w:type="dxa"/>
              <w:right w:w="108" w:type="dxa"/>
            </w:tcMar>
            <w:vAlign w:val="center"/>
          </w:tcPr>
          <w:p w14:paraId="1056801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1、不定时巡逻，夜间重点部位巡逻一次。</w:t>
            </w:r>
          </w:p>
          <w:p w14:paraId="1F25B89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2、在遇到突发事件时，采取必要措施并及时报告管理处和相关部门。</w:t>
            </w:r>
          </w:p>
        </w:tc>
      </w:tr>
      <w:tr w14:paraId="75C99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8" w:hRule="atLeast"/>
        </w:trPr>
        <w:tc>
          <w:tcPr>
            <w:tcW w:w="1202" w:type="dxa"/>
            <w:vMerge w:val="continue"/>
            <w:shd w:val="clear" w:color="auto" w:fill="FFFFFF"/>
            <w:vAlign w:val="center"/>
          </w:tcPr>
          <w:p w14:paraId="0BC41826">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381" w:type="dxa"/>
            <w:shd w:val="clear" w:color="auto" w:fill="FFFFFF"/>
            <w:tcMar>
              <w:top w:w="0" w:type="dxa"/>
              <w:left w:w="108" w:type="dxa"/>
              <w:bottom w:w="0" w:type="dxa"/>
              <w:right w:w="108" w:type="dxa"/>
            </w:tcMar>
            <w:vAlign w:val="center"/>
          </w:tcPr>
          <w:p w14:paraId="7DFCBAE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5424" w:type="dxa"/>
            <w:shd w:val="clear" w:color="auto" w:fill="FFFFFF"/>
            <w:tcMar>
              <w:top w:w="0" w:type="dxa"/>
              <w:left w:w="108" w:type="dxa"/>
              <w:bottom w:w="0" w:type="dxa"/>
              <w:right w:w="108" w:type="dxa"/>
            </w:tcMar>
            <w:vAlign w:val="center"/>
          </w:tcPr>
          <w:p w14:paraId="4D69E40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1、地面、墙面有简易标志。</w:t>
            </w:r>
          </w:p>
          <w:p w14:paraId="50EDBEF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2、收费管理的车库内地面、墙面按车辆道路行驶要求设立标志牌，照明、消防器械配置齐全。</w:t>
            </w:r>
          </w:p>
        </w:tc>
      </w:tr>
    </w:tbl>
    <w:p w14:paraId="1ECEC7F3">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7DBB1913">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094A1B40">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343013FB">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6182AE96">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510C91CB">
      <w:pPr>
        <w:widowControl/>
        <w:snapToGrid w:val="0"/>
        <w:spacing w:line="560" w:lineRule="exact"/>
        <w:ind w:firstLine="0" w:firstLineChars="0"/>
        <w:rPr>
          <w:rFonts w:ascii="Times New Roman" w:hAnsi="Times New Roman"/>
          <w:b/>
          <w:color w:val="000000"/>
          <w:kern w:val="0"/>
          <w:sz w:val="32"/>
          <w:szCs w:val="32"/>
        </w:rPr>
      </w:pPr>
    </w:p>
    <w:p w14:paraId="693513D2">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宜兴市普通住宅物业服务等级二级服务标准</w:t>
      </w:r>
    </w:p>
    <w:p w14:paraId="41A3D6D2">
      <w:pPr>
        <w:widowControl/>
        <w:snapToGrid w:val="0"/>
        <w:spacing w:line="480" w:lineRule="exact"/>
        <w:ind w:firstLine="307" w:firstLineChars="128"/>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(指导价0.80元/㎡·月，不含电梯运行维护费、公共能耗费)</w:t>
      </w:r>
    </w:p>
    <w:p w14:paraId="42E85458">
      <w:pPr>
        <w:widowControl/>
        <w:snapToGrid w:val="0"/>
        <w:spacing w:line="480" w:lineRule="exact"/>
        <w:ind w:firstLine="307" w:firstLineChars="128"/>
        <w:jc w:val="center"/>
        <w:rPr>
          <w:rFonts w:ascii="方正仿宋_GBK" w:hAnsi="Times New Roman" w:eastAsia="方正仿宋_GBK"/>
          <w:color w:val="000000"/>
          <w:kern w:val="0"/>
          <w:sz w:val="24"/>
          <w:szCs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94"/>
        <w:gridCol w:w="2274"/>
        <w:gridCol w:w="5784"/>
      </w:tblGrid>
      <w:tr w14:paraId="7A10A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194" w:type="dxa"/>
            <w:shd w:val="clear" w:color="auto" w:fill="FFFFFF"/>
            <w:tcMar>
              <w:top w:w="0" w:type="dxa"/>
              <w:left w:w="108" w:type="dxa"/>
              <w:bottom w:w="0" w:type="dxa"/>
              <w:right w:w="108" w:type="dxa"/>
            </w:tcMar>
            <w:vAlign w:val="center"/>
          </w:tcPr>
          <w:p w14:paraId="0BF5213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274" w:type="dxa"/>
            <w:shd w:val="clear" w:color="auto" w:fill="FFFFFF"/>
            <w:tcMar>
              <w:top w:w="0" w:type="dxa"/>
              <w:left w:w="108" w:type="dxa"/>
              <w:bottom w:w="0" w:type="dxa"/>
              <w:right w:w="108" w:type="dxa"/>
            </w:tcMar>
            <w:vAlign w:val="center"/>
          </w:tcPr>
          <w:p w14:paraId="331DB5B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5784" w:type="dxa"/>
            <w:shd w:val="clear" w:color="auto" w:fill="FFFFFF"/>
            <w:tcMar>
              <w:top w:w="0" w:type="dxa"/>
              <w:left w:w="108" w:type="dxa"/>
              <w:bottom w:w="0" w:type="dxa"/>
              <w:right w:w="108" w:type="dxa"/>
            </w:tcMar>
            <w:vAlign w:val="center"/>
          </w:tcPr>
          <w:p w14:paraId="34F345B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29217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restart"/>
            <w:shd w:val="clear" w:color="auto" w:fill="FFFFFF"/>
            <w:tcMar>
              <w:top w:w="0" w:type="dxa"/>
              <w:left w:w="108" w:type="dxa"/>
              <w:bottom w:w="0" w:type="dxa"/>
              <w:right w:w="108" w:type="dxa"/>
            </w:tcMar>
            <w:vAlign w:val="center"/>
          </w:tcPr>
          <w:p w14:paraId="6E135C2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5209B95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274" w:type="dxa"/>
            <w:shd w:val="clear" w:color="auto" w:fill="FFFFFF"/>
            <w:tcMar>
              <w:top w:w="0" w:type="dxa"/>
              <w:left w:w="108" w:type="dxa"/>
              <w:bottom w:w="0" w:type="dxa"/>
              <w:right w:w="108" w:type="dxa"/>
            </w:tcMar>
            <w:vAlign w:val="center"/>
          </w:tcPr>
          <w:p w14:paraId="5CF7F6E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5784" w:type="dxa"/>
            <w:shd w:val="clear" w:color="auto" w:fill="FFFFFF"/>
            <w:tcMar>
              <w:top w:w="0" w:type="dxa"/>
              <w:left w:w="108" w:type="dxa"/>
              <w:bottom w:w="0" w:type="dxa"/>
              <w:right w:w="108" w:type="dxa"/>
            </w:tcMar>
            <w:vAlign w:val="center"/>
          </w:tcPr>
          <w:p w14:paraId="3363B86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5E033C3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2、配置办公家具、电话、电脑等办公设施及办公用品。</w:t>
            </w:r>
          </w:p>
        </w:tc>
      </w:tr>
      <w:tr w14:paraId="232AC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3E772311">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461702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784" w:type="dxa"/>
            <w:shd w:val="clear" w:color="auto" w:fill="FFFFFF"/>
            <w:tcMar>
              <w:top w:w="0" w:type="dxa"/>
              <w:left w:w="108" w:type="dxa"/>
              <w:bottom w:w="0" w:type="dxa"/>
              <w:right w:w="108" w:type="dxa"/>
            </w:tcMar>
            <w:vAlign w:val="center"/>
          </w:tcPr>
          <w:p w14:paraId="22C91B08">
            <w:pPr>
              <w:widowControl/>
              <w:numPr>
                <w:ilvl w:val="0"/>
                <w:numId w:val="2"/>
              </w:numPr>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小区经理有物业管理员上岗证。</w:t>
            </w:r>
          </w:p>
          <w:p w14:paraId="2DC39F68">
            <w:pPr>
              <w:widowControl/>
              <w:numPr>
                <w:ilvl w:val="0"/>
                <w:numId w:val="2"/>
              </w:numPr>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管理人员服装统一，挂牌上岗，仪表整洁规范。</w:t>
            </w:r>
          </w:p>
        </w:tc>
      </w:tr>
      <w:tr w14:paraId="6A756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4" w:hRule="atLeast"/>
        </w:trPr>
        <w:tc>
          <w:tcPr>
            <w:tcW w:w="1194" w:type="dxa"/>
            <w:vMerge w:val="continue"/>
            <w:shd w:val="clear" w:color="auto" w:fill="FFFFFF"/>
            <w:vAlign w:val="center"/>
          </w:tcPr>
          <w:p w14:paraId="2CAA8BCD">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40B35D6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5784" w:type="dxa"/>
            <w:shd w:val="clear" w:color="auto" w:fill="FFFFFF"/>
            <w:tcMar>
              <w:top w:w="0" w:type="dxa"/>
              <w:left w:w="108" w:type="dxa"/>
              <w:bottom w:w="0" w:type="dxa"/>
              <w:right w:w="108" w:type="dxa"/>
            </w:tcMar>
            <w:vAlign w:val="center"/>
          </w:tcPr>
          <w:p w14:paraId="16F78C6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管理处周一至周五每天8小时业务接待。</w:t>
            </w:r>
          </w:p>
        </w:tc>
      </w:tr>
      <w:tr w14:paraId="3B6A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0" w:hRule="atLeast"/>
        </w:trPr>
        <w:tc>
          <w:tcPr>
            <w:tcW w:w="1194" w:type="dxa"/>
            <w:vMerge w:val="continue"/>
            <w:shd w:val="clear" w:color="auto" w:fill="FFFFFF"/>
            <w:vAlign w:val="center"/>
          </w:tcPr>
          <w:p w14:paraId="656AD722">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2C92FE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5784" w:type="dxa"/>
            <w:shd w:val="clear" w:color="auto" w:fill="FFFFFF"/>
            <w:tcMar>
              <w:top w:w="0" w:type="dxa"/>
              <w:left w:w="108" w:type="dxa"/>
              <w:bottom w:w="0" w:type="dxa"/>
              <w:right w:w="108" w:type="dxa"/>
            </w:tcMar>
            <w:vAlign w:val="center"/>
          </w:tcPr>
          <w:p w14:paraId="6B006B9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1、受理业主或使用人报修。急修1小时内到现场处理，一般修理四天内到完成（预约除外）。</w:t>
            </w:r>
          </w:p>
          <w:p w14:paraId="79F930B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2、对业主或使用人的投诉在一周内答复处理。</w:t>
            </w:r>
          </w:p>
          <w:p w14:paraId="3A4738E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3、公示服务标准和收费标准，每年向业主公布财务状况1次，公共水电费能耗分摊每年向业主公布1次。</w:t>
            </w:r>
          </w:p>
          <w:p w14:paraId="2C98274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4、建立业主档案、收费管理、设备管理等记录。</w:t>
            </w:r>
          </w:p>
          <w:p w14:paraId="3C582F0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5、有装修预审管理制度，对不符合规定的行为、现象及时劝阻、制止或报告。</w:t>
            </w:r>
          </w:p>
        </w:tc>
      </w:tr>
      <w:tr w14:paraId="570BF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restart"/>
            <w:shd w:val="clear" w:color="auto" w:fill="FFFFFF"/>
            <w:tcMar>
              <w:top w:w="0" w:type="dxa"/>
              <w:left w:w="108" w:type="dxa"/>
              <w:bottom w:w="0" w:type="dxa"/>
              <w:right w:w="108" w:type="dxa"/>
            </w:tcMar>
            <w:vAlign w:val="center"/>
          </w:tcPr>
          <w:p w14:paraId="550B2A0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414DA49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274" w:type="dxa"/>
            <w:shd w:val="clear" w:color="auto" w:fill="FFFFFF"/>
            <w:tcMar>
              <w:top w:w="0" w:type="dxa"/>
              <w:left w:w="108" w:type="dxa"/>
              <w:bottom w:w="0" w:type="dxa"/>
              <w:right w:w="108" w:type="dxa"/>
            </w:tcMar>
            <w:vAlign w:val="center"/>
          </w:tcPr>
          <w:p w14:paraId="60AE0FD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5784" w:type="dxa"/>
            <w:shd w:val="clear" w:color="auto" w:fill="FFFFFF"/>
            <w:tcMar>
              <w:top w:w="0" w:type="dxa"/>
              <w:left w:w="108" w:type="dxa"/>
              <w:bottom w:w="0" w:type="dxa"/>
              <w:right w:w="108" w:type="dxa"/>
            </w:tcMar>
            <w:vAlign w:val="center"/>
          </w:tcPr>
          <w:p w14:paraId="1401B3F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每周打扫1次各楼层通道和楼梯台阶，每月清洁1次楼梯扶手。</w:t>
            </w:r>
          </w:p>
        </w:tc>
      </w:tr>
      <w:tr w14:paraId="28418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349B8741">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573D25E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电梯及电梯厅保洁</w:t>
            </w:r>
          </w:p>
        </w:tc>
        <w:tc>
          <w:tcPr>
            <w:tcW w:w="5784" w:type="dxa"/>
            <w:shd w:val="clear" w:color="auto" w:fill="FFFFFF"/>
            <w:tcMar>
              <w:top w:w="0" w:type="dxa"/>
              <w:left w:w="108" w:type="dxa"/>
              <w:bottom w:w="0" w:type="dxa"/>
              <w:right w:w="108" w:type="dxa"/>
            </w:tcMar>
            <w:vAlign w:val="center"/>
          </w:tcPr>
          <w:p w14:paraId="1C2B0A5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每日清扫1次电梯轿厢。</w:t>
            </w:r>
          </w:p>
        </w:tc>
      </w:tr>
      <w:tr w14:paraId="7A787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74C4B1A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025E5E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5784" w:type="dxa"/>
            <w:shd w:val="clear" w:color="auto" w:fill="FFFFFF"/>
            <w:tcMar>
              <w:top w:w="0" w:type="dxa"/>
              <w:left w:w="108" w:type="dxa"/>
              <w:bottom w:w="0" w:type="dxa"/>
              <w:right w:w="108" w:type="dxa"/>
            </w:tcMar>
            <w:vAlign w:val="center"/>
          </w:tcPr>
          <w:p w14:paraId="4119A79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w:t>
            </w:r>
          </w:p>
        </w:tc>
      </w:tr>
      <w:tr w14:paraId="4C120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71D2371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0CF6A18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停车场、共用车库或</w:t>
            </w:r>
          </w:p>
          <w:p w14:paraId="7AA2C0D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车棚保洁</w:t>
            </w:r>
          </w:p>
        </w:tc>
        <w:tc>
          <w:tcPr>
            <w:tcW w:w="5784" w:type="dxa"/>
            <w:shd w:val="clear" w:color="auto" w:fill="FFFFFF"/>
            <w:tcMar>
              <w:top w:w="0" w:type="dxa"/>
              <w:left w:w="108" w:type="dxa"/>
              <w:bottom w:w="0" w:type="dxa"/>
              <w:right w:w="108" w:type="dxa"/>
            </w:tcMar>
            <w:vAlign w:val="center"/>
          </w:tcPr>
          <w:p w14:paraId="5C370FF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每月清扫 1 次车库，地下室每年消杀 1 次。</w:t>
            </w:r>
          </w:p>
        </w:tc>
      </w:tr>
      <w:tr w14:paraId="2E863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5" w:hRule="atLeast"/>
        </w:trPr>
        <w:tc>
          <w:tcPr>
            <w:tcW w:w="1194" w:type="dxa"/>
            <w:vMerge w:val="continue"/>
            <w:shd w:val="clear" w:color="auto" w:fill="FFFFFF"/>
            <w:vAlign w:val="center"/>
          </w:tcPr>
          <w:p w14:paraId="5A27AB2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3883A80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5784" w:type="dxa"/>
            <w:shd w:val="clear" w:color="auto" w:fill="FFFFFF"/>
            <w:tcMar>
              <w:top w:w="0" w:type="dxa"/>
              <w:left w:w="108" w:type="dxa"/>
              <w:bottom w:w="0" w:type="dxa"/>
              <w:right w:w="108" w:type="dxa"/>
            </w:tcMar>
            <w:vAlign w:val="center"/>
          </w:tcPr>
          <w:p w14:paraId="443DBE7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w:t>
            </w:r>
          </w:p>
        </w:tc>
      </w:tr>
      <w:tr w14:paraId="41C76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9" w:hRule="atLeast"/>
        </w:trPr>
        <w:tc>
          <w:tcPr>
            <w:tcW w:w="1194" w:type="dxa"/>
            <w:vMerge w:val="continue"/>
            <w:shd w:val="clear" w:color="auto" w:fill="FFFFFF"/>
            <w:vAlign w:val="center"/>
          </w:tcPr>
          <w:p w14:paraId="3CECF7DA">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3445D2A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5784" w:type="dxa"/>
            <w:shd w:val="clear" w:color="auto" w:fill="FFFFFF"/>
            <w:tcMar>
              <w:top w:w="0" w:type="dxa"/>
              <w:left w:w="108" w:type="dxa"/>
              <w:bottom w:w="0" w:type="dxa"/>
              <w:right w:w="108" w:type="dxa"/>
            </w:tcMar>
            <w:vAlign w:val="center"/>
          </w:tcPr>
          <w:p w14:paraId="51CB933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垃圾每日清运1次，垃圾桶、果皮箱每月擦拭1次。</w:t>
            </w:r>
          </w:p>
        </w:tc>
      </w:tr>
      <w:tr w14:paraId="150C4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7B9616CA">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7DFC26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5784" w:type="dxa"/>
            <w:shd w:val="clear" w:color="auto" w:fill="FFFFFF"/>
            <w:tcMar>
              <w:top w:w="0" w:type="dxa"/>
              <w:left w:w="108" w:type="dxa"/>
              <w:bottom w:w="0" w:type="dxa"/>
              <w:right w:w="108" w:type="dxa"/>
            </w:tcMar>
          </w:tcPr>
          <w:p w14:paraId="6B208D1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小区内定点设置垃圾收集箱或点，每日定时清理1次；垃圾收集箱或点周围地面无散落垃圾、无异味，每月清洗1次。</w:t>
            </w:r>
          </w:p>
        </w:tc>
      </w:tr>
      <w:tr w14:paraId="00C4F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1194" w:type="dxa"/>
            <w:vMerge w:val="continue"/>
            <w:shd w:val="clear" w:color="auto" w:fill="FFFFFF"/>
            <w:vAlign w:val="center"/>
          </w:tcPr>
          <w:p w14:paraId="16E19A47">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C8FAE9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5784" w:type="dxa"/>
            <w:shd w:val="clear" w:color="auto" w:fill="FFFFFF"/>
            <w:tcMar>
              <w:top w:w="0" w:type="dxa"/>
              <w:left w:w="108" w:type="dxa"/>
              <w:bottom w:w="0" w:type="dxa"/>
              <w:right w:w="108" w:type="dxa"/>
            </w:tcMar>
            <w:vAlign w:val="center"/>
          </w:tcPr>
          <w:p w14:paraId="6BF604F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灭鼠灭蚊等每年至少消杀1次。</w:t>
            </w:r>
          </w:p>
        </w:tc>
      </w:tr>
      <w:tr w14:paraId="7AE17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1194" w:type="dxa"/>
            <w:vMerge w:val="continue"/>
            <w:shd w:val="clear" w:color="auto" w:fill="FFFFFF"/>
            <w:vAlign w:val="center"/>
          </w:tcPr>
          <w:p w14:paraId="2E49628E">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3A6305B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5784" w:type="dxa"/>
            <w:shd w:val="clear" w:color="auto" w:fill="FFFFFF"/>
            <w:tcMar>
              <w:top w:w="0" w:type="dxa"/>
              <w:left w:w="108" w:type="dxa"/>
              <w:bottom w:w="0" w:type="dxa"/>
              <w:right w:w="108" w:type="dxa"/>
            </w:tcMar>
            <w:vAlign w:val="center"/>
          </w:tcPr>
          <w:p w14:paraId="25CAD36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每半年清理1次。</w:t>
            </w:r>
          </w:p>
        </w:tc>
      </w:tr>
      <w:tr w14:paraId="4B627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9" w:hRule="atLeast"/>
        </w:trPr>
        <w:tc>
          <w:tcPr>
            <w:tcW w:w="1194" w:type="dxa"/>
            <w:vMerge w:val="restart"/>
            <w:shd w:val="clear" w:color="auto" w:fill="FFFFFF"/>
            <w:tcMar>
              <w:top w:w="0" w:type="dxa"/>
              <w:left w:w="108" w:type="dxa"/>
              <w:bottom w:w="0" w:type="dxa"/>
              <w:right w:w="108" w:type="dxa"/>
            </w:tcMar>
            <w:vAlign w:val="center"/>
          </w:tcPr>
          <w:p w14:paraId="2EB27365">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6ED2EF0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274" w:type="dxa"/>
            <w:shd w:val="clear" w:color="auto" w:fill="FFFFFF"/>
            <w:tcMar>
              <w:top w:w="0" w:type="dxa"/>
              <w:left w:w="108" w:type="dxa"/>
              <w:bottom w:w="0" w:type="dxa"/>
              <w:right w:w="108" w:type="dxa"/>
            </w:tcMar>
            <w:vAlign w:val="center"/>
          </w:tcPr>
          <w:p w14:paraId="6F5131F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5784" w:type="dxa"/>
            <w:shd w:val="clear" w:color="auto" w:fill="FFFFFF"/>
            <w:tcMar>
              <w:top w:w="0" w:type="dxa"/>
              <w:left w:w="108" w:type="dxa"/>
              <w:bottom w:w="0" w:type="dxa"/>
              <w:right w:w="108" w:type="dxa"/>
            </w:tcMar>
            <w:vAlign w:val="center"/>
          </w:tcPr>
          <w:p w14:paraId="64A5210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发现损坏立即修复。</w:t>
            </w:r>
          </w:p>
        </w:tc>
      </w:tr>
      <w:tr w14:paraId="4C2D3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67950A1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B45A01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5784" w:type="dxa"/>
            <w:shd w:val="clear" w:color="auto" w:fill="FFFFFF"/>
            <w:tcMar>
              <w:top w:w="0" w:type="dxa"/>
              <w:left w:w="108" w:type="dxa"/>
              <w:bottom w:w="0" w:type="dxa"/>
              <w:right w:w="108" w:type="dxa"/>
            </w:tcMar>
            <w:vAlign w:val="center"/>
          </w:tcPr>
          <w:p w14:paraId="1DDE31F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道路、路面、侧石、井盖等，发现损坏及时修复。</w:t>
            </w:r>
          </w:p>
        </w:tc>
      </w:tr>
      <w:tr w14:paraId="03802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40A287B7">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9446ED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5784" w:type="dxa"/>
            <w:shd w:val="clear" w:color="auto" w:fill="FFFFFF"/>
            <w:tcMar>
              <w:top w:w="0" w:type="dxa"/>
              <w:left w:w="108" w:type="dxa"/>
              <w:bottom w:w="0" w:type="dxa"/>
              <w:right w:w="108" w:type="dxa"/>
            </w:tcMar>
            <w:vAlign w:val="center"/>
          </w:tcPr>
          <w:p w14:paraId="76DCD47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每年清扫排水明沟和疏通地下管井1次。</w:t>
            </w:r>
          </w:p>
        </w:tc>
      </w:tr>
      <w:tr w14:paraId="08AD7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32DBD757">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6D0857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5784" w:type="dxa"/>
            <w:shd w:val="clear" w:color="auto" w:fill="FFFFFF"/>
            <w:tcMar>
              <w:top w:w="0" w:type="dxa"/>
              <w:left w:w="108" w:type="dxa"/>
              <w:bottom w:w="0" w:type="dxa"/>
              <w:right w:w="108" w:type="dxa"/>
            </w:tcMar>
            <w:vAlign w:val="center"/>
          </w:tcPr>
          <w:p w14:paraId="1524603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饮用水水池(箱)每年清洗消毒1次。</w:t>
            </w:r>
          </w:p>
        </w:tc>
      </w:tr>
      <w:tr w14:paraId="15A60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2C31A68E">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9FE7F9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公共部位照明灯、景观灯等</w:t>
            </w:r>
          </w:p>
        </w:tc>
        <w:tc>
          <w:tcPr>
            <w:tcW w:w="5784" w:type="dxa"/>
            <w:shd w:val="clear" w:color="auto" w:fill="FFFFFF"/>
            <w:tcMar>
              <w:top w:w="0" w:type="dxa"/>
              <w:left w:w="108" w:type="dxa"/>
              <w:bottom w:w="0" w:type="dxa"/>
              <w:right w:w="108" w:type="dxa"/>
            </w:tcMar>
            <w:vAlign w:val="center"/>
          </w:tcPr>
          <w:p w14:paraId="58DDA5E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w:t>
            </w:r>
          </w:p>
        </w:tc>
      </w:tr>
      <w:tr w14:paraId="0A4AA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5C12A5B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41F6A07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5784" w:type="dxa"/>
            <w:shd w:val="clear" w:color="auto" w:fill="FFFFFF"/>
            <w:tcMar>
              <w:top w:w="0" w:type="dxa"/>
              <w:left w:w="108" w:type="dxa"/>
              <w:bottom w:w="0" w:type="dxa"/>
              <w:right w:w="108" w:type="dxa"/>
            </w:tcMar>
            <w:vAlign w:val="center"/>
          </w:tcPr>
          <w:p w14:paraId="7E3103A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1、消防设施设备可随时启用，消防通道畅通；</w:t>
            </w:r>
          </w:p>
          <w:p w14:paraId="4CB0791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2、每月检查1次灭火器，临近失效立即更新或充压。</w:t>
            </w:r>
          </w:p>
        </w:tc>
      </w:tr>
      <w:tr w14:paraId="1C8C6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2ABFAB06">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4DC6DDD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5784" w:type="dxa"/>
            <w:shd w:val="clear" w:color="auto" w:fill="FFFFFF"/>
            <w:tcMar>
              <w:top w:w="0" w:type="dxa"/>
              <w:left w:w="108" w:type="dxa"/>
              <w:bottom w:w="0" w:type="dxa"/>
              <w:right w:w="108" w:type="dxa"/>
            </w:tcMar>
            <w:vAlign w:val="center"/>
          </w:tcPr>
          <w:p w14:paraId="29E8262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每月巡查1次小区房屋单元门、楼道、管线井道、机房以及其它共用设施设备,并及时维修养护。</w:t>
            </w:r>
          </w:p>
        </w:tc>
      </w:tr>
      <w:tr w14:paraId="3546C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7" w:hRule="atLeast"/>
        </w:trPr>
        <w:tc>
          <w:tcPr>
            <w:tcW w:w="1194" w:type="dxa"/>
            <w:vMerge w:val="restart"/>
            <w:shd w:val="clear" w:color="auto" w:fill="FFFFFF"/>
            <w:tcMar>
              <w:top w:w="0" w:type="dxa"/>
              <w:left w:w="108" w:type="dxa"/>
              <w:bottom w:w="0" w:type="dxa"/>
              <w:right w:w="108" w:type="dxa"/>
            </w:tcMar>
            <w:vAlign w:val="center"/>
          </w:tcPr>
          <w:p w14:paraId="6CD8B5B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园林绿化养护与管理</w:t>
            </w:r>
          </w:p>
        </w:tc>
        <w:tc>
          <w:tcPr>
            <w:tcW w:w="2274" w:type="dxa"/>
            <w:shd w:val="clear" w:color="auto" w:fill="FFFFFF"/>
            <w:tcMar>
              <w:top w:w="0" w:type="dxa"/>
              <w:left w:w="108" w:type="dxa"/>
              <w:bottom w:w="0" w:type="dxa"/>
              <w:right w:w="108" w:type="dxa"/>
            </w:tcMar>
            <w:vAlign w:val="center"/>
          </w:tcPr>
          <w:p w14:paraId="07340E2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5784" w:type="dxa"/>
            <w:shd w:val="clear" w:color="auto" w:fill="FFFFFF"/>
            <w:tcMar>
              <w:top w:w="0" w:type="dxa"/>
              <w:left w:w="108" w:type="dxa"/>
              <w:bottom w:w="0" w:type="dxa"/>
              <w:right w:w="108" w:type="dxa"/>
            </w:tcMar>
            <w:vAlign w:val="center"/>
          </w:tcPr>
          <w:p w14:paraId="2E5C463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乔灌木生长健壮；花灌木按时开花结果；球、篱、地被生长无缺枝、空挡。</w:t>
            </w:r>
          </w:p>
        </w:tc>
      </w:tr>
      <w:tr w14:paraId="34EBE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270CF735">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13F8529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5784" w:type="dxa"/>
            <w:shd w:val="clear" w:color="auto" w:fill="FFFFFF"/>
            <w:tcMar>
              <w:top w:w="0" w:type="dxa"/>
              <w:left w:w="108" w:type="dxa"/>
              <w:bottom w:w="0" w:type="dxa"/>
              <w:right w:w="108" w:type="dxa"/>
            </w:tcMar>
            <w:vAlign w:val="center"/>
          </w:tcPr>
          <w:p w14:paraId="2C8F091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成活率70%以上，每年修剪2次，除虫施肥每年1次。</w:t>
            </w:r>
          </w:p>
        </w:tc>
      </w:tr>
      <w:tr w14:paraId="24FE5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5665B4AB">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66A12F9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5784" w:type="dxa"/>
            <w:shd w:val="clear" w:color="auto" w:fill="FFFFFF"/>
            <w:tcMar>
              <w:top w:w="0" w:type="dxa"/>
              <w:left w:w="108" w:type="dxa"/>
              <w:bottom w:w="0" w:type="dxa"/>
              <w:right w:w="108" w:type="dxa"/>
            </w:tcMar>
            <w:vAlign w:val="center"/>
          </w:tcPr>
          <w:p w14:paraId="6FE7C90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成活率70%以上，每年修剪1次，除虫施肥每年1次。</w:t>
            </w:r>
          </w:p>
        </w:tc>
      </w:tr>
      <w:tr w14:paraId="6C36B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1764D32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034517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5784" w:type="dxa"/>
            <w:shd w:val="clear" w:color="auto" w:fill="FFFFFF"/>
            <w:tcMar>
              <w:top w:w="0" w:type="dxa"/>
              <w:left w:w="108" w:type="dxa"/>
              <w:bottom w:w="0" w:type="dxa"/>
              <w:right w:w="108" w:type="dxa"/>
            </w:tcMar>
            <w:vAlign w:val="center"/>
          </w:tcPr>
          <w:p w14:paraId="356401A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水面每季清捞1次。</w:t>
            </w:r>
          </w:p>
        </w:tc>
      </w:tr>
      <w:tr w14:paraId="3BC04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133C2174">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7D2039B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5784" w:type="dxa"/>
            <w:shd w:val="clear" w:color="auto" w:fill="FFFFFF"/>
            <w:tcMar>
              <w:top w:w="0" w:type="dxa"/>
              <w:left w:w="108" w:type="dxa"/>
              <w:bottom w:w="0" w:type="dxa"/>
              <w:right w:w="108" w:type="dxa"/>
            </w:tcMar>
            <w:vAlign w:val="center"/>
          </w:tcPr>
          <w:p w14:paraId="7AC091A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每年清洁、整修1次。</w:t>
            </w:r>
          </w:p>
        </w:tc>
      </w:tr>
      <w:tr w14:paraId="2186E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restart"/>
            <w:shd w:val="clear" w:color="auto" w:fill="FFFFFF"/>
            <w:tcMar>
              <w:top w:w="0" w:type="dxa"/>
              <w:left w:w="108" w:type="dxa"/>
              <w:bottom w:w="0" w:type="dxa"/>
              <w:right w:w="108" w:type="dxa"/>
            </w:tcMar>
            <w:vAlign w:val="center"/>
          </w:tcPr>
          <w:p w14:paraId="1B158106">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0DEB227C">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6B1EF514">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1A4B57A3">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4D160C9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安全防范</w:t>
            </w:r>
          </w:p>
        </w:tc>
        <w:tc>
          <w:tcPr>
            <w:tcW w:w="2274" w:type="dxa"/>
            <w:shd w:val="clear" w:color="auto" w:fill="FFFFFF"/>
            <w:tcMar>
              <w:top w:w="0" w:type="dxa"/>
              <w:left w:w="108" w:type="dxa"/>
              <w:bottom w:w="0" w:type="dxa"/>
              <w:right w:w="108" w:type="dxa"/>
            </w:tcMar>
            <w:vAlign w:val="center"/>
          </w:tcPr>
          <w:p w14:paraId="2C6B2F4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784" w:type="dxa"/>
            <w:shd w:val="clear" w:color="auto" w:fill="FFFFFF"/>
            <w:tcMar>
              <w:top w:w="0" w:type="dxa"/>
              <w:left w:w="108" w:type="dxa"/>
              <w:bottom w:w="0" w:type="dxa"/>
              <w:right w:w="108" w:type="dxa"/>
            </w:tcMar>
            <w:vAlign w:val="center"/>
          </w:tcPr>
          <w:p w14:paraId="2E69FD0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1、专职保安人员，身体健康，工作认真负责。</w:t>
            </w:r>
          </w:p>
          <w:p w14:paraId="62D95A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2、对小区日常护卫事项做出正确反应，能正确使用消防器材。</w:t>
            </w:r>
          </w:p>
          <w:p w14:paraId="46A012E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w:t>
            </w:r>
          </w:p>
        </w:tc>
      </w:tr>
      <w:tr w14:paraId="05B43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2A1AD6C0">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25CF9B0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5784" w:type="dxa"/>
            <w:shd w:val="clear" w:color="auto" w:fill="FFFFFF"/>
            <w:tcMar>
              <w:top w:w="0" w:type="dxa"/>
              <w:left w:w="108" w:type="dxa"/>
              <w:bottom w:w="0" w:type="dxa"/>
              <w:right w:w="108" w:type="dxa"/>
            </w:tcMar>
            <w:vAlign w:val="center"/>
          </w:tcPr>
          <w:p w14:paraId="5671B78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1、主出入口24小时值班看守，并有详细交接班记录。</w:t>
            </w:r>
          </w:p>
          <w:p w14:paraId="7C9B6EE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w:t>
            </w:r>
          </w:p>
        </w:tc>
      </w:tr>
      <w:tr w14:paraId="7B063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5E4E9DD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3F3E6AE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5784" w:type="dxa"/>
            <w:shd w:val="clear" w:color="auto" w:fill="FFFFFF"/>
            <w:tcMar>
              <w:top w:w="0" w:type="dxa"/>
              <w:left w:w="108" w:type="dxa"/>
              <w:bottom w:w="0" w:type="dxa"/>
              <w:right w:w="108" w:type="dxa"/>
            </w:tcMar>
          </w:tcPr>
          <w:p w14:paraId="7BAEE98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1、白天巡逻次数不少于4次，夜间重点部位巡逻2次，并有巡逻记录。</w:t>
            </w:r>
          </w:p>
          <w:p w14:paraId="4895E28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2、在遇到突发事件时，采取必要措施并及时报告管理处和相关部门。</w:t>
            </w:r>
          </w:p>
        </w:tc>
      </w:tr>
      <w:tr w14:paraId="1500A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94" w:type="dxa"/>
            <w:vMerge w:val="continue"/>
            <w:shd w:val="clear" w:color="auto" w:fill="FFFFFF"/>
            <w:vAlign w:val="center"/>
          </w:tcPr>
          <w:p w14:paraId="6C0D865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475B1F2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技防设施和救助</w:t>
            </w:r>
          </w:p>
        </w:tc>
        <w:tc>
          <w:tcPr>
            <w:tcW w:w="5784" w:type="dxa"/>
            <w:shd w:val="clear" w:color="auto" w:fill="FFFFFF"/>
            <w:tcMar>
              <w:top w:w="0" w:type="dxa"/>
              <w:left w:w="108" w:type="dxa"/>
              <w:bottom w:w="0" w:type="dxa"/>
              <w:right w:w="108" w:type="dxa"/>
            </w:tcMar>
            <w:vAlign w:val="center"/>
          </w:tcPr>
          <w:p w14:paraId="1A0933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1、小区主出入口应具备录像监控。</w:t>
            </w:r>
          </w:p>
          <w:p w14:paraId="6B13DE1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2、小区应有火警、水警、警情应急预案并公示上墙。</w:t>
            </w:r>
          </w:p>
        </w:tc>
      </w:tr>
      <w:tr w14:paraId="7FD5E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194" w:type="dxa"/>
            <w:vMerge w:val="continue"/>
            <w:shd w:val="clear" w:color="auto" w:fill="FFFFFF"/>
            <w:vAlign w:val="center"/>
          </w:tcPr>
          <w:p w14:paraId="1F629886">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74" w:type="dxa"/>
            <w:shd w:val="clear" w:color="auto" w:fill="FFFFFF"/>
            <w:tcMar>
              <w:top w:w="0" w:type="dxa"/>
              <w:left w:w="108" w:type="dxa"/>
              <w:bottom w:w="0" w:type="dxa"/>
              <w:right w:w="108" w:type="dxa"/>
            </w:tcMar>
            <w:vAlign w:val="center"/>
          </w:tcPr>
          <w:p w14:paraId="5D025BC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5784" w:type="dxa"/>
            <w:shd w:val="clear" w:color="auto" w:fill="FFFFFF"/>
            <w:tcMar>
              <w:top w:w="0" w:type="dxa"/>
              <w:left w:w="108" w:type="dxa"/>
              <w:bottom w:w="0" w:type="dxa"/>
              <w:right w:w="108" w:type="dxa"/>
            </w:tcMar>
            <w:vAlign w:val="center"/>
          </w:tcPr>
          <w:p w14:paraId="1655EF4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1、地面、墙面有简易标志。</w:t>
            </w:r>
          </w:p>
          <w:p w14:paraId="04B0B5A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2、收费管理的车库内地面、墙面按车辆道路行驶要求设立标志牌，照明、消防器械配置齐全。</w:t>
            </w:r>
          </w:p>
        </w:tc>
      </w:tr>
    </w:tbl>
    <w:p w14:paraId="627F46C3">
      <w:pPr>
        <w:widowControl/>
        <w:snapToGrid w:val="0"/>
        <w:spacing w:line="560" w:lineRule="exact"/>
        <w:ind w:firstLine="409" w:firstLineChars="128"/>
        <w:jc w:val="left"/>
        <w:rPr>
          <w:rFonts w:ascii="Times New Roman" w:hAnsi="Times New Roman"/>
          <w:color w:val="000000"/>
          <w:kern w:val="0"/>
          <w:sz w:val="32"/>
          <w:szCs w:val="32"/>
        </w:rPr>
      </w:pPr>
      <w:r>
        <w:rPr>
          <w:rFonts w:ascii="Times New Roman" w:hAnsi="Times New Roman"/>
          <w:color w:val="000000"/>
          <w:kern w:val="0"/>
          <w:sz w:val="32"/>
          <w:szCs w:val="32"/>
        </w:rPr>
        <w:t>　</w:t>
      </w:r>
      <w:r>
        <w:rPr>
          <w:rFonts w:hint="eastAsia" w:ascii="Times New Roman" w:hAnsi="Times New Roman"/>
          <w:color w:val="000000"/>
          <w:kern w:val="0"/>
          <w:sz w:val="32"/>
          <w:szCs w:val="32"/>
        </w:rPr>
        <w:t xml:space="preserve"> </w:t>
      </w:r>
    </w:p>
    <w:p w14:paraId="21009975">
      <w:pPr>
        <w:widowControl/>
        <w:snapToGrid w:val="0"/>
        <w:spacing w:line="560" w:lineRule="exact"/>
        <w:ind w:firstLine="409" w:firstLineChars="128"/>
        <w:jc w:val="left"/>
        <w:rPr>
          <w:rFonts w:ascii="Times New Roman" w:hAnsi="Times New Roman"/>
          <w:color w:val="000000"/>
          <w:kern w:val="0"/>
          <w:sz w:val="32"/>
          <w:szCs w:val="32"/>
        </w:rPr>
      </w:pPr>
    </w:p>
    <w:p w14:paraId="49DBCC19">
      <w:pPr>
        <w:widowControl/>
        <w:snapToGrid w:val="0"/>
        <w:spacing w:line="560" w:lineRule="exact"/>
        <w:ind w:firstLine="409" w:firstLineChars="128"/>
        <w:jc w:val="left"/>
        <w:rPr>
          <w:rFonts w:ascii="Times New Roman" w:hAnsi="Times New Roman"/>
          <w:color w:val="000000"/>
          <w:kern w:val="0"/>
          <w:sz w:val="32"/>
          <w:szCs w:val="32"/>
        </w:rPr>
      </w:pPr>
    </w:p>
    <w:p w14:paraId="3DC36FB9">
      <w:pPr>
        <w:widowControl/>
        <w:snapToGrid w:val="0"/>
        <w:spacing w:line="560" w:lineRule="exact"/>
        <w:ind w:firstLine="409" w:firstLineChars="128"/>
        <w:jc w:val="left"/>
        <w:rPr>
          <w:rFonts w:ascii="Times New Roman" w:hAnsi="Times New Roman"/>
          <w:color w:val="000000"/>
          <w:kern w:val="0"/>
          <w:sz w:val="32"/>
          <w:szCs w:val="32"/>
        </w:rPr>
      </w:pPr>
    </w:p>
    <w:p w14:paraId="50B142B5">
      <w:pPr>
        <w:widowControl/>
        <w:snapToGrid w:val="0"/>
        <w:spacing w:line="560" w:lineRule="exact"/>
        <w:ind w:firstLine="409" w:firstLineChars="128"/>
        <w:jc w:val="left"/>
        <w:rPr>
          <w:rFonts w:ascii="Times New Roman" w:hAnsi="Times New Roman"/>
          <w:color w:val="000000"/>
          <w:kern w:val="0"/>
          <w:sz w:val="32"/>
          <w:szCs w:val="32"/>
        </w:rPr>
      </w:pPr>
    </w:p>
    <w:p w14:paraId="15C2EBD0">
      <w:pPr>
        <w:widowControl/>
        <w:snapToGrid w:val="0"/>
        <w:spacing w:line="560" w:lineRule="exact"/>
        <w:ind w:firstLine="409" w:firstLineChars="128"/>
        <w:jc w:val="left"/>
        <w:rPr>
          <w:rFonts w:ascii="Times New Roman" w:hAnsi="Times New Roman"/>
          <w:color w:val="000000"/>
          <w:kern w:val="0"/>
          <w:sz w:val="32"/>
          <w:szCs w:val="32"/>
        </w:rPr>
      </w:pPr>
    </w:p>
    <w:p w14:paraId="14B0C5C1">
      <w:pPr>
        <w:widowControl/>
        <w:snapToGrid w:val="0"/>
        <w:spacing w:line="560" w:lineRule="exact"/>
        <w:ind w:firstLine="409" w:firstLineChars="128"/>
        <w:jc w:val="left"/>
        <w:rPr>
          <w:rFonts w:ascii="Times New Roman" w:hAnsi="Times New Roman"/>
          <w:color w:val="000000"/>
          <w:kern w:val="0"/>
          <w:sz w:val="32"/>
          <w:szCs w:val="32"/>
        </w:rPr>
      </w:pPr>
    </w:p>
    <w:p w14:paraId="79F951E2">
      <w:pPr>
        <w:widowControl/>
        <w:snapToGrid w:val="0"/>
        <w:spacing w:line="560" w:lineRule="exact"/>
        <w:ind w:firstLine="409" w:firstLineChars="128"/>
        <w:jc w:val="left"/>
        <w:rPr>
          <w:rFonts w:ascii="Times New Roman" w:hAnsi="Times New Roman"/>
          <w:color w:val="000000"/>
          <w:kern w:val="0"/>
          <w:sz w:val="32"/>
          <w:szCs w:val="32"/>
        </w:rPr>
      </w:pPr>
    </w:p>
    <w:p w14:paraId="7C3711E3">
      <w:pPr>
        <w:widowControl/>
        <w:snapToGrid w:val="0"/>
        <w:spacing w:line="560" w:lineRule="exact"/>
        <w:ind w:firstLine="409" w:firstLineChars="128"/>
        <w:jc w:val="left"/>
        <w:rPr>
          <w:rFonts w:ascii="Times New Roman" w:hAnsi="Times New Roman"/>
          <w:color w:val="000000"/>
          <w:kern w:val="0"/>
          <w:sz w:val="32"/>
          <w:szCs w:val="32"/>
        </w:rPr>
      </w:pPr>
    </w:p>
    <w:p w14:paraId="108826AE">
      <w:pPr>
        <w:widowControl/>
        <w:snapToGrid w:val="0"/>
        <w:spacing w:line="560" w:lineRule="exact"/>
        <w:ind w:firstLine="409" w:firstLineChars="128"/>
        <w:jc w:val="left"/>
        <w:rPr>
          <w:rFonts w:ascii="Times New Roman" w:hAnsi="Times New Roman"/>
          <w:color w:val="000000"/>
          <w:kern w:val="0"/>
          <w:sz w:val="32"/>
          <w:szCs w:val="32"/>
        </w:rPr>
      </w:pPr>
    </w:p>
    <w:p w14:paraId="3D6589C4">
      <w:pPr>
        <w:widowControl/>
        <w:snapToGrid w:val="0"/>
        <w:spacing w:line="560" w:lineRule="exact"/>
        <w:ind w:firstLine="729" w:firstLineChars="228"/>
        <w:jc w:val="left"/>
        <w:rPr>
          <w:rFonts w:ascii="Times New Roman" w:hAnsi="Times New Roman"/>
          <w:color w:val="000000"/>
          <w:kern w:val="0"/>
          <w:sz w:val="32"/>
          <w:szCs w:val="32"/>
        </w:rPr>
      </w:pPr>
    </w:p>
    <w:p w14:paraId="5CB7B517">
      <w:pPr>
        <w:widowControl/>
        <w:snapToGrid w:val="0"/>
        <w:spacing w:line="560" w:lineRule="exact"/>
        <w:ind w:firstLine="729" w:firstLineChars="228"/>
        <w:jc w:val="left"/>
        <w:rPr>
          <w:rFonts w:ascii="Times New Roman" w:hAnsi="Times New Roman"/>
          <w:color w:val="000000"/>
          <w:kern w:val="0"/>
          <w:sz w:val="32"/>
          <w:szCs w:val="32"/>
        </w:rPr>
      </w:pPr>
    </w:p>
    <w:p w14:paraId="3B2FE331">
      <w:pPr>
        <w:widowControl/>
        <w:snapToGrid w:val="0"/>
        <w:spacing w:line="560" w:lineRule="exact"/>
        <w:ind w:firstLine="729" w:firstLineChars="228"/>
        <w:jc w:val="left"/>
        <w:rPr>
          <w:rFonts w:ascii="Times New Roman" w:hAnsi="Times New Roman"/>
          <w:color w:val="000000"/>
          <w:kern w:val="0"/>
          <w:sz w:val="32"/>
          <w:szCs w:val="32"/>
        </w:rPr>
      </w:pPr>
    </w:p>
    <w:p w14:paraId="1B4BB43B">
      <w:pPr>
        <w:widowControl/>
        <w:snapToGrid w:val="0"/>
        <w:spacing w:line="560" w:lineRule="exact"/>
        <w:ind w:firstLine="729" w:firstLineChars="228"/>
        <w:jc w:val="left"/>
        <w:rPr>
          <w:rFonts w:ascii="Times New Roman" w:hAnsi="Times New Roman"/>
          <w:color w:val="000000"/>
          <w:kern w:val="0"/>
          <w:sz w:val="32"/>
          <w:szCs w:val="32"/>
        </w:rPr>
      </w:pPr>
    </w:p>
    <w:p w14:paraId="35109D42">
      <w:pPr>
        <w:widowControl/>
        <w:snapToGrid w:val="0"/>
        <w:spacing w:line="560" w:lineRule="exact"/>
        <w:ind w:firstLine="729" w:firstLineChars="228"/>
        <w:jc w:val="left"/>
        <w:rPr>
          <w:rFonts w:ascii="Times New Roman" w:hAnsi="Times New Roman"/>
          <w:color w:val="000000"/>
          <w:kern w:val="0"/>
          <w:sz w:val="32"/>
          <w:szCs w:val="32"/>
        </w:rPr>
      </w:pPr>
    </w:p>
    <w:p w14:paraId="0A75564D">
      <w:pPr>
        <w:widowControl/>
        <w:snapToGrid w:val="0"/>
        <w:spacing w:line="560" w:lineRule="exact"/>
        <w:ind w:firstLine="729" w:firstLineChars="228"/>
        <w:jc w:val="left"/>
        <w:rPr>
          <w:rFonts w:ascii="Times New Roman" w:hAnsi="Times New Roman"/>
          <w:color w:val="000000"/>
          <w:kern w:val="0"/>
          <w:sz w:val="32"/>
          <w:szCs w:val="32"/>
        </w:rPr>
      </w:pPr>
    </w:p>
    <w:p w14:paraId="119D7F54">
      <w:pPr>
        <w:widowControl/>
        <w:snapToGrid w:val="0"/>
        <w:spacing w:line="560" w:lineRule="exact"/>
        <w:ind w:firstLine="729" w:firstLineChars="228"/>
        <w:jc w:val="left"/>
        <w:rPr>
          <w:rFonts w:ascii="Times New Roman" w:hAnsi="Times New Roman"/>
          <w:color w:val="000000"/>
          <w:kern w:val="0"/>
          <w:sz w:val="32"/>
          <w:szCs w:val="32"/>
        </w:rPr>
      </w:pPr>
    </w:p>
    <w:p w14:paraId="4F75B019">
      <w:pPr>
        <w:widowControl/>
        <w:snapToGrid w:val="0"/>
        <w:spacing w:line="560" w:lineRule="exact"/>
        <w:ind w:firstLine="729" w:firstLineChars="228"/>
        <w:jc w:val="left"/>
        <w:rPr>
          <w:rFonts w:ascii="Times New Roman" w:hAnsi="Times New Roman"/>
          <w:color w:val="000000"/>
          <w:kern w:val="0"/>
          <w:sz w:val="32"/>
          <w:szCs w:val="32"/>
        </w:rPr>
      </w:pPr>
    </w:p>
    <w:p w14:paraId="68B6DD60">
      <w:pPr>
        <w:widowControl/>
        <w:snapToGrid w:val="0"/>
        <w:spacing w:line="560" w:lineRule="exact"/>
        <w:ind w:firstLine="729" w:firstLineChars="228"/>
        <w:jc w:val="left"/>
        <w:rPr>
          <w:rFonts w:ascii="Times New Roman" w:hAnsi="Times New Roman"/>
          <w:color w:val="000000"/>
          <w:kern w:val="0"/>
          <w:sz w:val="32"/>
          <w:szCs w:val="32"/>
        </w:rPr>
      </w:pPr>
    </w:p>
    <w:p w14:paraId="5136F3A1">
      <w:pPr>
        <w:widowControl/>
        <w:snapToGrid w:val="0"/>
        <w:spacing w:line="560" w:lineRule="exact"/>
        <w:ind w:firstLine="729" w:firstLineChars="228"/>
        <w:jc w:val="left"/>
        <w:rPr>
          <w:rFonts w:ascii="Times New Roman" w:hAnsi="Times New Roman"/>
          <w:color w:val="000000"/>
          <w:kern w:val="0"/>
          <w:sz w:val="32"/>
          <w:szCs w:val="32"/>
        </w:rPr>
      </w:pPr>
    </w:p>
    <w:p w14:paraId="20FAB395">
      <w:pPr>
        <w:widowControl/>
        <w:snapToGrid w:val="0"/>
        <w:spacing w:line="560" w:lineRule="exact"/>
        <w:ind w:firstLine="729" w:firstLineChars="228"/>
        <w:jc w:val="left"/>
        <w:rPr>
          <w:rFonts w:ascii="Times New Roman" w:hAnsi="Times New Roman"/>
          <w:color w:val="000000"/>
          <w:kern w:val="0"/>
          <w:sz w:val="32"/>
          <w:szCs w:val="32"/>
        </w:rPr>
      </w:pPr>
    </w:p>
    <w:p w14:paraId="77F69FBB">
      <w:pPr>
        <w:widowControl/>
        <w:snapToGrid w:val="0"/>
        <w:spacing w:line="560" w:lineRule="exact"/>
        <w:ind w:firstLine="729" w:firstLineChars="228"/>
        <w:jc w:val="left"/>
        <w:rPr>
          <w:rFonts w:ascii="方正黑体_GBK" w:hAnsi="Times New Roman" w:eastAsia="方正黑体_GBK"/>
          <w:b/>
          <w:color w:val="000000"/>
          <w:kern w:val="0"/>
          <w:sz w:val="36"/>
          <w:szCs w:val="36"/>
        </w:rPr>
      </w:pPr>
      <w:r>
        <w:rPr>
          <w:rFonts w:hint="eastAsia" w:ascii="Times New Roman" w:hAnsi="Times New Roman"/>
          <w:color w:val="000000"/>
          <w:kern w:val="0"/>
          <w:sz w:val="32"/>
          <w:szCs w:val="32"/>
        </w:rPr>
        <w:t xml:space="preserve"> </w:t>
      </w:r>
      <w:r>
        <w:rPr>
          <w:rFonts w:hint="eastAsia" w:ascii="方正黑体_GBK" w:hAnsi="Times New Roman" w:eastAsia="方正黑体_GBK"/>
          <w:b/>
          <w:color w:val="000000"/>
          <w:kern w:val="0"/>
          <w:sz w:val="36"/>
          <w:szCs w:val="36"/>
        </w:rPr>
        <w:t>宜兴市普通住宅物业服务等级三级服务标准</w:t>
      </w:r>
    </w:p>
    <w:p w14:paraId="7CEEC978">
      <w:pPr>
        <w:widowControl/>
        <w:snapToGrid w:val="0"/>
        <w:spacing w:line="480" w:lineRule="exact"/>
        <w:ind w:firstLine="1267" w:firstLineChars="528"/>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(指导价1.10元/㎡·月，不含电梯运行维护费、公共能耗费)</w:t>
      </w:r>
    </w:p>
    <w:p w14:paraId="268D2C70">
      <w:pPr>
        <w:widowControl/>
        <w:snapToGrid w:val="0"/>
        <w:spacing w:line="480" w:lineRule="exact"/>
        <w:ind w:firstLine="307" w:firstLineChars="128"/>
        <w:rPr>
          <w:rFonts w:ascii="方正仿宋_GBK" w:hAnsi="Times New Roman" w:eastAsia="方正仿宋_GBK"/>
          <w:color w:val="000000"/>
          <w:kern w:val="0"/>
          <w:sz w:val="24"/>
          <w:szCs w:val="24"/>
        </w:rPr>
      </w:pPr>
    </w:p>
    <w:tbl>
      <w:tblPr>
        <w:tblStyle w:val="13"/>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276"/>
        <w:gridCol w:w="2294"/>
        <w:gridCol w:w="5679"/>
      </w:tblGrid>
      <w:tr w14:paraId="7141C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276" w:type="dxa"/>
            <w:shd w:val="clear" w:color="auto" w:fill="FFFFFF"/>
            <w:tcMar>
              <w:top w:w="0" w:type="dxa"/>
              <w:left w:w="108" w:type="dxa"/>
              <w:bottom w:w="0" w:type="dxa"/>
              <w:right w:w="108" w:type="dxa"/>
            </w:tcMar>
            <w:vAlign w:val="center"/>
          </w:tcPr>
          <w:p w14:paraId="654417E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294" w:type="dxa"/>
            <w:shd w:val="clear" w:color="auto" w:fill="FFFFFF"/>
            <w:tcMar>
              <w:top w:w="0" w:type="dxa"/>
              <w:left w:w="108" w:type="dxa"/>
              <w:bottom w:w="0" w:type="dxa"/>
              <w:right w:w="108" w:type="dxa"/>
            </w:tcMar>
            <w:vAlign w:val="center"/>
          </w:tcPr>
          <w:p w14:paraId="060ADD1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5679" w:type="dxa"/>
            <w:shd w:val="clear" w:color="auto" w:fill="FFFFFF"/>
            <w:tcMar>
              <w:top w:w="0" w:type="dxa"/>
              <w:left w:w="108" w:type="dxa"/>
              <w:bottom w:w="0" w:type="dxa"/>
              <w:right w:w="108" w:type="dxa"/>
            </w:tcMar>
            <w:vAlign w:val="center"/>
          </w:tcPr>
          <w:p w14:paraId="1D91F93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14E19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276" w:type="dxa"/>
            <w:vMerge w:val="restart"/>
            <w:shd w:val="clear" w:color="auto" w:fill="FFFFFF"/>
            <w:tcMar>
              <w:top w:w="0" w:type="dxa"/>
              <w:left w:w="108" w:type="dxa"/>
              <w:bottom w:w="0" w:type="dxa"/>
              <w:right w:w="108" w:type="dxa"/>
            </w:tcMar>
            <w:vAlign w:val="center"/>
          </w:tcPr>
          <w:p w14:paraId="4DC66B4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54AED35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294" w:type="dxa"/>
            <w:shd w:val="clear" w:color="auto" w:fill="FFFFFF"/>
            <w:tcMar>
              <w:top w:w="0" w:type="dxa"/>
              <w:left w:w="108" w:type="dxa"/>
              <w:bottom w:w="0" w:type="dxa"/>
              <w:right w:w="108" w:type="dxa"/>
            </w:tcMar>
            <w:vAlign w:val="center"/>
          </w:tcPr>
          <w:p w14:paraId="1766F5C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5679" w:type="dxa"/>
            <w:shd w:val="clear" w:color="auto" w:fill="FFFFFF"/>
            <w:tcMar>
              <w:top w:w="0" w:type="dxa"/>
              <w:left w:w="108" w:type="dxa"/>
              <w:bottom w:w="0" w:type="dxa"/>
              <w:right w:w="108" w:type="dxa"/>
            </w:tcMar>
            <w:vAlign w:val="center"/>
          </w:tcPr>
          <w:p w14:paraId="3F31D3E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657046D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2、配置办公家具、电话、电脑等办公设施及办公用品。</w:t>
            </w:r>
          </w:p>
        </w:tc>
      </w:tr>
      <w:tr w14:paraId="29718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84080B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6ECF3BF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679" w:type="dxa"/>
            <w:shd w:val="clear" w:color="auto" w:fill="FFFFFF"/>
            <w:tcMar>
              <w:top w:w="0" w:type="dxa"/>
              <w:left w:w="108" w:type="dxa"/>
              <w:bottom w:w="0" w:type="dxa"/>
              <w:right w:w="108" w:type="dxa"/>
            </w:tcMar>
            <w:vAlign w:val="center"/>
          </w:tcPr>
          <w:p w14:paraId="0BDFDD5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1、小区经理有物业管理员上岗证和项目经理上岗证，有1年以上物业管理工作经验。</w:t>
            </w:r>
          </w:p>
          <w:p w14:paraId="09DE9B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2、管理人员服装统一，挂牌上岗，仪表整洁规范。</w:t>
            </w:r>
          </w:p>
        </w:tc>
      </w:tr>
      <w:tr w14:paraId="02AFF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40681D45">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5896343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5679" w:type="dxa"/>
            <w:shd w:val="clear" w:color="auto" w:fill="FFFFFF"/>
            <w:tcMar>
              <w:top w:w="0" w:type="dxa"/>
              <w:left w:w="108" w:type="dxa"/>
              <w:bottom w:w="0" w:type="dxa"/>
              <w:right w:w="108" w:type="dxa"/>
            </w:tcMar>
            <w:vAlign w:val="center"/>
          </w:tcPr>
          <w:p w14:paraId="460338E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管理处周一至周五每天8小时业务接待。</w:t>
            </w:r>
          </w:p>
        </w:tc>
      </w:tr>
      <w:tr w14:paraId="22950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1B61078C">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09B25D8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5679" w:type="dxa"/>
            <w:shd w:val="clear" w:color="auto" w:fill="FFFFFF"/>
            <w:tcMar>
              <w:top w:w="0" w:type="dxa"/>
              <w:left w:w="108" w:type="dxa"/>
              <w:bottom w:w="0" w:type="dxa"/>
              <w:right w:w="108" w:type="dxa"/>
            </w:tcMar>
            <w:vAlign w:val="center"/>
          </w:tcPr>
          <w:p w14:paraId="3B1D765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1、24小时受理业主或使用人报修。急修1小时内到现场处理，一般修理三天内完成（预约除外）。</w:t>
            </w:r>
          </w:p>
          <w:p w14:paraId="693507D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2、对业主或使用人的投诉在四天内答复处理。</w:t>
            </w:r>
          </w:p>
          <w:p w14:paraId="587C2FE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3、公示服务标准和收费标准，每年向业主公布财务状况1次，公共水电费能耗分摊每年向业主公布1次。</w:t>
            </w:r>
          </w:p>
          <w:p w14:paraId="78C5AF6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4、制定小区房屋装修申请、验收等装修管理制度，对不符合规定的行为、现象及时劝阻、制止或报告。</w:t>
            </w:r>
          </w:p>
          <w:p w14:paraId="305FD4B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5、建立业主档案、收费管理、设备管理等记录。</w:t>
            </w:r>
          </w:p>
          <w:p w14:paraId="18FE42F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6、能提供一种以上特约服务（有偿）和一种以上便民（无偿）服务；每年组织1次以上的社区活动。</w:t>
            </w:r>
          </w:p>
        </w:tc>
      </w:tr>
      <w:tr w14:paraId="2A919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restart"/>
            <w:shd w:val="clear" w:color="auto" w:fill="FFFFFF"/>
            <w:tcMar>
              <w:top w:w="0" w:type="dxa"/>
              <w:left w:w="108" w:type="dxa"/>
              <w:bottom w:w="0" w:type="dxa"/>
              <w:right w:w="108" w:type="dxa"/>
            </w:tcMar>
            <w:vAlign w:val="center"/>
          </w:tcPr>
          <w:p w14:paraId="6AFE896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631CF95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294" w:type="dxa"/>
            <w:shd w:val="clear" w:color="auto" w:fill="FFFFFF"/>
            <w:tcMar>
              <w:top w:w="0" w:type="dxa"/>
              <w:left w:w="108" w:type="dxa"/>
              <w:bottom w:w="0" w:type="dxa"/>
              <w:right w:w="108" w:type="dxa"/>
            </w:tcMar>
            <w:vAlign w:val="center"/>
          </w:tcPr>
          <w:p w14:paraId="01AF642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5679" w:type="dxa"/>
            <w:shd w:val="clear" w:color="auto" w:fill="FFFFFF"/>
            <w:tcMar>
              <w:top w:w="0" w:type="dxa"/>
              <w:left w:w="108" w:type="dxa"/>
              <w:bottom w:w="0" w:type="dxa"/>
              <w:right w:w="108" w:type="dxa"/>
            </w:tcMar>
            <w:vAlign w:val="center"/>
          </w:tcPr>
          <w:p w14:paraId="3832468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每周打扫1次各楼层通道和楼梯台阶、清洁1次楼梯扶手；楼梯间墙面、顶面每季度除尘1次。</w:t>
            </w:r>
          </w:p>
        </w:tc>
      </w:tr>
      <w:tr w14:paraId="2A4F4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83D632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06711D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w:t>
            </w:r>
          </w:p>
          <w:p w14:paraId="6B82076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电梯厅保洁</w:t>
            </w:r>
          </w:p>
        </w:tc>
        <w:tc>
          <w:tcPr>
            <w:tcW w:w="5679" w:type="dxa"/>
            <w:shd w:val="clear" w:color="auto" w:fill="FFFFFF"/>
            <w:tcMar>
              <w:top w:w="0" w:type="dxa"/>
              <w:left w:w="108" w:type="dxa"/>
              <w:bottom w:w="0" w:type="dxa"/>
              <w:right w:w="108" w:type="dxa"/>
            </w:tcMar>
            <w:vAlign w:val="center"/>
          </w:tcPr>
          <w:p w14:paraId="194C73C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每日清扫1次电梯轿厢，每周擦拭1次电梯门壁,每月对轿厢顶部清洁1次。</w:t>
            </w:r>
          </w:p>
        </w:tc>
      </w:tr>
      <w:tr w14:paraId="54427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BE93FF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4FDCDF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5679" w:type="dxa"/>
            <w:shd w:val="clear" w:color="auto" w:fill="FFFFFF"/>
            <w:tcMar>
              <w:top w:w="0" w:type="dxa"/>
              <w:left w:w="108" w:type="dxa"/>
              <w:bottom w:w="0" w:type="dxa"/>
              <w:right w:w="108" w:type="dxa"/>
            </w:tcMar>
            <w:vAlign w:val="center"/>
          </w:tcPr>
          <w:p w14:paraId="6FE4E24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每日清洁2次，每周消杀1次。</w:t>
            </w:r>
          </w:p>
        </w:tc>
      </w:tr>
      <w:tr w14:paraId="47D50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AEDB16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0D3B4B1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停车场、共用车库或</w:t>
            </w:r>
          </w:p>
          <w:p w14:paraId="5EA3A37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车棚保洁</w:t>
            </w:r>
          </w:p>
        </w:tc>
        <w:tc>
          <w:tcPr>
            <w:tcW w:w="5679" w:type="dxa"/>
            <w:shd w:val="clear" w:color="auto" w:fill="FFFFFF"/>
            <w:tcMar>
              <w:top w:w="0" w:type="dxa"/>
              <w:left w:w="108" w:type="dxa"/>
              <w:bottom w:w="0" w:type="dxa"/>
              <w:right w:w="108" w:type="dxa"/>
            </w:tcMar>
            <w:vAlign w:val="center"/>
          </w:tcPr>
          <w:p w14:paraId="7C1D7BC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每半月清扫1次车库，每半年进行一次地下室消杀工作。</w:t>
            </w:r>
          </w:p>
        </w:tc>
      </w:tr>
      <w:tr w14:paraId="0F38C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794C5774">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4F68D80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5679" w:type="dxa"/>
            <w:shd w:val="clear" w:color="auto" w:fill="FFFFFF"/>
            <w:tcMar>
              <w:top w:w="0" w:type="dxa"/>
              <w:left w:w="108" w:type="dxa"/>
              <w:bottom w:w="0" w:type="dxa"/>
              <w:right w:w="108" w:type="dxa"/>
            </w:tcMar>
            <w:vAlign w:val="center"/>
          </w:tcPr>
          <w:p w14:paraId="1C575D4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w:t>
            </w:r>
          </w:p>
        </w:tc>
      </w:tr>
      <w:tr w14:paraId="40DB7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B070CEB">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5C19A1D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w:t>
            </w:r>
          </w:p>
          <w:p w14:paraId="5F5BE04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信报箱保洁</w:t>
            </w:r>
          </w:p>
        </w:tc>
        <w:tc>
          <w:tcPr>
            <w:tcW w:w="5679" w:type="dxa"/>
            <w:shd w:val="clear" w:color="auto" w:fill="FFFFFF"/>
            <w:tcMar>
              <w:top w:w="0" w:type="dxa"/>
              <w:left w:w="108" w:type="dxa"/>
              <w:bottom w:w="0" w:type="dxa"/>
              <w:right w:w="108" w:type="dxa"/>
            </w:tcMar>
            <w:vAlign w:val="center"/>
          </w:tcPr>
          <w:p w14:paraId="6D0AF5F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标识、宣传牌每周擦拭1次，雕塑、信报箱每季度擦拭1次。</w:t>
            </w:r>
          </w:p>
        </w:tc>
      </w:tr>
      <w:tr w14:paraId="06778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7" w:hRule="atLeast"/>
        </w:trPr>
        <w:tc>
          <w:tcPr>
            <w:tcW w:w="1276" w:type="dxa"/>
            <w:vMerge w:val="continue"/>
            <w:shd w:val="clear" w:color="auto" w:fill="FFFFFF"/>
            <w:vAlign w:val="center"/>
          </w:tcPr>
          <w:p w14:paraId="2521623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19A223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休闲、娱乐、健身设施</w:t>
            </w:r>
          </w:p>
        </w:tc>
        <w:tc>
          <w:tcPr>
            <w:tcW w:w="5679" w:type="dxa"/>
            <w:shd w:val="clear" w:color="auto" w:fill="FFFFFF"/>
            <w:tcMar>
              <w:top w:w="0" w:type="dxa"/>
              <w:left w:w="108" w:type="dxa"/>
              <w:bottom w:w="0" w:type="dxa"/>
              <w:right w:w="108" w:type="dxa"/>
            </w:tcMar>
            <w:vAlign w:val="center"/>
          </w:tcPr>
          <w:p w14:paraId="457204C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每周清洁1次。</w:t>
            </w:r>
          </w:p>
        </w:tc>
      </w:tr>
      <w:tr w14:paraId="29D5F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170C00A1">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63E772A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5679" w:type="dxa"/>
            <w:shd w:val="clear" w:color="auto" w:fill="FFFFFF"/>
            <w:tcMar>
              <w:top w:w="0" w:type="dxa"/>
              <w:left w:w="108" w:type="dxa"/>
              <w:bottom w:w="0" w:type="dxa"/>
              <w:right w:w="108" w:type="dxa"/>
            </w:tcMar>
            <w:vAlign w:val="center"/>
          </w:tcPr>
          <w:p w14:paraId="512E63C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垃圾每日收集1次，垃圾桶、果皮箱每月擦拭抹2次。</w:t>
            </w:r>
          </w:p>
        </w:tc>
      </w:tr>
      <w:tr w14:paraId="6D130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404BAE42">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1F09102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5679" w:type="dxa"/>
            <w:shd w:val="clear" w:color="auto" w:fill="FFFFFF"/>
            <w:tcMar>
              <w:top w:w="0" w:type="dxa"/>
              <w:left w:w="108" w:type="dxa"/>
              <w:bottom w:w="0" w:type="dxa"/>
              <w:right w:w="108" w:type="dxa"/>
            </w:tcMar>
            <w:vAlign w:val="center"/>
          </w:tcPr>
          <w:p w14:paraId="5C348EA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小区内定点设置垃圾收集箱或点，每日定时清理1次；垃圾收集箱或点周围地面无散落垃圾、无异味，每月清洗1次。</w:t>
            </w:r>
          </w:p>
        </w:tc>
      </w:tr>
      <w:tr w14:paraId="12345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30DEB2A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0676E8B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5679" w:type="dxa"/>
            <w:shd w:val="clear" w:color="auto" w:fill="FFFFFF"/>
            <w:tcMar>
              <w:top w:w="0" w:type="dxa"/>
              <w:left w:w="108" w:type="dxa"/>
              <w:bottom w:w="0" w:type="dxa"/>
              <w:right w:w="108" w:type="dxa"/>
            </w:tcMar>
            <w:vAlign w:val="center"/>
          </w:tcPr>
          <w:p w14:paraId="4E5C228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灭鼠、灭蚊等每年至少进行2次。</w:t>
            </w:r>
          </w:p>
        </w:tc>
      </w:tr>
      <w:tr w14:paraId="26081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0A783A3">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0225CB7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5679" w:type="dxa"/>
            <w:shd w:val="clear" w:color="auto" w:fill="FFFFFF"/>
            <w:tcMar>
              <w:top w:w="0" w:type="dxa"/>
              <w:left w:w="108" w:type="dxa"/>
              <w:bottom w:w="0" w:type="dxa"/>
              <w:right w:w="108" w:type="dxa"/>
            </w:tcMar>
            <w:vAlign w:val="center"/>
          </w:tcPr>
          <w:p w14:paraId="0837289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每年清理1次，保持清洁、无垃圾。</w:t>
            </w:r>
          </w:p>
        </w:tc>
      </w:tr>
      <w:tr w14:paraId="2F243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7" w:hRule="atLeast"/>
        </w:trPr>
        <w:tc>
          <w:tcPr>
            <w:tcW w:w="1276" w:type="dxa"/>
            <w:vMerge w:val="restart"/>
            <w:shd w:val="clear" w:color="auto" w:fill="FFFFFF"/>
            <w:tcMar>
              <w:top w:w="0" w:type="dxa"/>
              <w:left w:w="108" w:type="dxa"/>
              <w:bottom w:w="0" w:type="dxa"/>
              <w:right w:w="108" w:type="dxa"/>
            </w:tcMar>
            <w:vAlign w:val="center"/>
          </w:tcPr>
          <w:p w14:paraId="326A141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294" w:type="dxa"/>
            <w:shd w:val="clear" w:color="auto" w:fill="FFFFFF"/>
            <w:tcMar>
              <w:top w:w="0" w:type="dxa"/>
              <w:left w:w="108" w:type="dxa"/>
              <w:bottom w:w="0" w:type="dxa"/>
              <w:right w:w="108" w:type="dxa"/>
            </w:tcMar>
            <w:vAlign w:val="center"/>
          </w:tcPr>
          <w:p w14:paraId="39DEFDF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公共部位门窗</w:t>
            </w:r>
          </w:p>
        </w:tc>
        <w:tc>
          <w:tcPr>
            <w:tcW w:w="5679" w:type="dxa"/>
            <w:shd w:val="clear" w:color="auto" w:fill="FFFFFF"/>
            <w:tcMar>
              <w:top w:w="0" w:type="dxa"/>
              <w:left w:w="108" w:type="dxa"/>
              <w:bottom w:w="0" w:type="dxa"/>
              <w:right w:w="108" w:type="dxa"/>
            </w:tcMar>
            <w:vAlign w:val="center"/>
          </w:tcPr>
          <w:p w14:paraId="1C1FAD2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每月巡视楼内公共部位门窗，保持玻璃、门窗配件完好，门、窗开闭灵活并无异常声响。</w:t>
            </w:r>
          </w:p>
        </w:tc>
      </w:tr>
      <w:tr w14:paraId="027D7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2D038C35">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08AF60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5679" w:type="dxa"/>
            <w:shd w:val="clear" w:color="auto" w:fill="FFFFFF"/>
            <w:tcMar>
              <w:top w:w="0" w:type="dxa"/>
              <w:left w:w="108" w:type="dxa"/>
              <w:bottom w:w="0" w:type="dxa"/>
              <w:right w:w="108" w:type="dxa"/>
            </w:tcMar>
            <w:vAlign w:val="center"/>
          </w:tcPr>
          <w:p w14:paraId="4D5F6B1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每季1次巡查围墙，发现损坏立即修复，保持围墙完好。</w:t>
            </w:r>
          </w:p>
        </w:tc>
      </w:tr>
      <w:tr w14:paraId="1C52F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51D2026A">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811954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5679" w:type="dxa"/>
            <w:shd w:val="clear" w:color="auto" w:fill="FFFFFF"/>
            <w:tcMar>
              <w:top w:w="0" w:type="dxa"/>
              <w:left w:w="108" w:type="dxa"/>
              <w:bottom w:w="0" w:type="dxa"/>
              <w:right w:w="108" w:type="dxa"/>
            </w:tcMar>
            <w:vAlign w:val="center"/>
          </w:tcPr>
          <w:p w14:paraId="4F4B331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每季1次巡查道路、路面、侧石、井盖等，发现损坏及时修复。</w:t>
            </w:r>
          </w:p>
        </w:tc>
      </w:tr>
      <w:tr w14:paraId="7AF4D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EF6D5F1">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2B79C83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5679" w:type="dxa"/>
            <w:shd w:val="clear" w:color="auto" w:fill="FFFFFF"/>
            <w:tcMar>
              <w:top w:w="0" w:type="dxa"/>
              <w:left w:w="108" w:type="dxa"/>
              <w:bottom w:w="0" w:type="dxa"/>
              <w:right w:w="108" w:type="dxa"/>
            </w:tcMar>
            <w:vAlign w:val="center"/>
          </w:tcPr>
          <w:p w14:paraId="541EEA4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每季清扫1次排水明沟，每年对地下管井清理1次。</w:t>
            </w:r>
          </w:p>
        </w:tc>
      </w:tr>
      <w:tr w14:paraId="0ACC7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214B57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2210DF2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5679" w:type="dxa"/>
            <w:shd w:val="clear" w:color="auto" w:fill="FFFFFF"/>
            <w:tcMar>
              <w:top w:w="0" w:type="dxa"/>
              <w:left w:w="108" w:type="dxa"/>
              <w:bottom w:w="0" w:type="dxa"/>
              <w:right w:w="108" w:type="dxa"/>
            </w:tcMar>
            <w:vAlign w:val="center"/>
          </w:tcPr>
          <w:p w14:paraId="341FE0D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饮用水水池(箱)每年清洗消毒1次、水质化验达标。</w:t>
            </w:r>
          </w:p>
        </w:tc>
      </w:tr>
      <w:tr w14:paraId="71854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216EDF2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42B7959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公共部位照明灯、景观灯等</w:t>
            </w:r>
          </w:p>
        </w:tc>
        <w:tc>
          <w:tcPr>
            <w:tcW w:w="5679" w:type="dxa"/>
            <w:shd w:val="clear" w:color="auto" w:fill="FFFFFF"/>
            <w:tcMar>
              <w:top w:w="0" w:type="dxa"/>
              <w:left w:w="108" w:type="dxa"/>
              <w:bottom w:w="0" w:type="dxa"/>
              <w:right w:w="108" w:type="dxa"/>
            </w:tcMar>
            <w:vAlign w:val="center"/>
          </w:tcPr>
          <w:p w14:paraId="6C142C1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w:t>
            </w:r>
          </w:p>
        </w:tc>
      </w:tr>
      <w:tr w14:paraId="782EA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1062520E">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E0B057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5679" w:type="dxa"/>
            <w:shd w:val="clear" w:color="auto" w:fill="FFFFFF"/>
            <w:tcMar>
              <w:top w:w="0" w:type="dxa"/>
              <w:left w:w="108" w:type="dxa"/>
              <w:bottom w:w="0" w:type="dxa"/>
              <w:right w:w="108" w:type="dxa"/>
            </w:tcMar>
            <w:vAlign w:val="center"/>
          </w:tcPr>
          <w:p w14:paraId="16C77A7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1、消防设施设备可随时启用，消防通道畅通。</w:t>
            </w:r>
          </w:p>
          <w:p w14:paraId="48213D0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2、每半年检查1次消防水带、阀杆处加注润滑油并作1次放水检查。</w:t>
            </w:r>
          </w:p>
          <w:p w14:paraId="50CAB03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3、每月检查1次灭火器，临近失效立即更新或充压。</w:t>
            </w:r>
          </w:p>
        </w:tc>
      </w:tr>
      <w:tr w14:paraId="725D0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3CEEA08F">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1E9BE7D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5679" w:type="dxa"/>
            <w:shd w:val="clear" w:color="auto" w:fill="FFFFFF"/>
            <w:tcMar>
              <w:top w:w="0" w:type="dxa"/>
              <w:left w:w="108" w:type="dxa"/>
              <w:bottom w:w="0" w:type="dxa"/>
              <w:right w:w="108" w:type="dxa"/>
            </w:tcMar>
            <w:vAlign w:val="center"/>
          </w:tcPr>
          <w:p w14:paraId="7A2267D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每月巡查1次小区房屋单元门、楼道、管线井道、机房以及其它共用设施设备,并及时维修养护，保证正常运行；小区主要道路及停车场交通标志齐全。</w:t>
            </w:r>
          </w:p>
        </w:tc>
      </w:tr>
      <w:tr w14:paraId="159AA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6" w:hRule="atLeast"/>
        </w:trPr>
        <w:tc>
          <w:tcPr>
            <w:tcW w:w="1276" w:type="dxa"/>
            <w:vMerge w:val="restart"/>
            <w:shd w:val="clear" w:color="auto" w:fill="FFFFFF"/>
            <w:tcMar>
              <w:top w:w="0" w:type="dxa"/>
              <w:left w:w="108" w:type="dxa"/>
              <w:bottom w:w="0" w:type="dxa"/>
              <w:right w:w="108" w:type="dxa"/>
            </w:tcMar>
            <w:vAlign w:val="center"/>
          </w:tcPr>
          <w:p w14:paraId="7BEC0BD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w:t>
            </w:r>
          </w:p>
          <w:p w14:paraId="072DA91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w:t>
            </w:r>
          </w:p>
          <w:p w14:paraId="27058D4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养护</w:t>
            </w:r>
          </w:p>
          <w:p w14:paraId="70362E6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与管理</w:t>
            </w:r>
          </w:p>
        </w:tc>
        <w:tc>
          <w:tcPr>
            <w:tcW w:w="2294" w:type="dxa"/>
            <w:shd w:val="clear" w:color="auto" w:fill="FFFFFF"/>
            <w:tcMar>
              <w:top w:w="0" w:type="dxa"/>
              <w:left w:w="108" w:type="dxa"/>
              <w:bottom w:w="0" w:type="dxa"/>
              <w:right w:w="108" w:type="dxa"/>
            </w:tcMar>
            <w:vAlign w:val="center"/>
          </w:tcPr>
          <w:p w14:paraId="11C8B56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5679" w:type="dxa"/>
            <w:shd w:val="clear" w:color="auto" w:fill="FFFFFF"/>
            <w:tcMar>
              <w:top w:w="0" w:type="dxa"/>
              <w:left w:w="108" w:type="dxa"/>
              <w:bottom w:w="0" w:type="dxa"/>
              <w:right w:w="108" w:type="dxa"/>
            </w:tcMar>
            <w:vAlign w:val="center"/>
          </w:tcPr>
          <w:p w14:paraId="76877ED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乔灌木生长健壮，树冠完整；花灌木按时开花结果；球、篱、地被生长无缺枝、空挡。</w:t>
            </w:r>
          </w:p>
        </w:tc>
      </w:tr>
      <w:tr w14:paraId="58E75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793A7840">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4116D0C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5679" w:type="dxa"/>
            <w:shd w:val="clear" w:color="auto" w:fill="FFFFFF"/>
            <w:tcMar>
              <w:top w:w="0" w:type="dxa"/>
              <w:left w:w="108" w:type="dxa"/>
              <w:bottom w:w="0" w:type="dxa"/>
              <w:right w:w="108" w:type="dxa"/>
            </w:tcMar>
            <w:vAlign w:val="center"/>
          </w:tcPr>
          <w:p w14:paraId="4900430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成活率80%以上，每年修剪3次，除虫施肥每年1次。</w:t>
            </w:r>
          </w:p>
        </w:tc>
      </w:tr>
      <w:tr w14:paraId="6B796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29F7B4A2">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57EC5A1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5679" w:type="dxa"/>
            <w:shd w:val="clear" w:color="auto" w:fill="FFFFFF"/>
            <w:tcMar>
              <w:top w:w="0" w:type="dxa"/>
              <w:left w:w="108" w:type="dxa"/>
              <w:bottom w:w="0" w:type="dxa"/>
              <w:right w:w="108" w:type="dxa"/>
            </w:tcMar>
            <w:vAlign w:val="center"/>
          </w:tcPr>
          <w:p w14:paraId="11EB8C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成活率80%以上，每年修剪1次，除虫施肥每年1次。</w:t>
            </w:r>
          </w:p>
        </w:tc>
      </w:tr>
      <w:tr w14:paraId="1AE58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5D7C97E7">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45FAD64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5679" w:type="dxa"/>
            <w:shd w:val="clear" w:color="auto" w:fill="FFFFFF"/>
            <w:tcMar>
              <w:top w:w="0" w:type="dxa"/>
              <w:left w:w="108" w:type="dxa"/>
              <w:bottom w:w="0" w:type="dxa"/>
              <w:right w:w="108" w:type="dxa"/>
            </w:tcMar>
            <w:vAlign w:val="center"/>
          </w:tcPr>
          <w:p w14:paraId="0DBB7A8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每季水面清捞1次。</w:t>
            </w:r>
          </w:p>
        </w:tc>
      </w:tr>
      <w:tr w14:paraId="76E8E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0D28CC0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5204B08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5679" w:type="dxa"/>
            <w:shd w:val="clear" w:color="auto" w:fill="FFFFFF"/>
            <w:tcMar>
              <w:top w:w="0" w:type="dxa"/>
              <w:left w:w="108" w:type="dxa"/>
              <w:bottom w:w="0" w:type="dxa"/>
              <w:right w:w="108" w:type="dxa"/>
            </w:tcMar>
            <w:vAlign w:val="center"/>
          </w:tcPr>
          <w:p w14:paraId="32446B2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每半年清洁、整修1次。</w:t>
            </w:r>
          </w:p>
        </w:tc>
      </w:tr>
      <w:tr w14:paraId="0E296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restart"/>
            <w:shd w:val="clear" w:color="auto" w:fill="FFFFFF"/>
            <w:tcMar>
              <w:top w:w="0" w:type="dxa"/>
              <w:left w:w="108" w:type="dxa"/>
              <w:bottom w:w="0" w:type="dxa"/>
              <w:right w:w="108" w:type="dxa"/>
            </w:tcMar>
            <w:vAlign w:val="center"/>
          </w:tcPr>
          <w:p w14:paraId="5BC4D4F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安全防范</w:t>
            </w:r>
          </w:p>
        </w:tc>
        <w:tc>
          <w:tcPr>
            <w:tcW w:w="2294" w:type="dxa"/>
            <w:shd w:val="clear" w:color="auto" w:fill="FFFFFF"/>
            <w:tcMar>
              <w:top w:w="0" w:type="dxa"/>
              <w:left w:w="108" w:type="dxa"/>
              <w:bottom w:w="0" w:type="dxa"/>
              <w:right w:w="108" w:type="dxa"/>
            </w:tcMar>
            <w:vAlign w:val="center"/>
          </w:tcPr>
          <w:p w14:paraId="133BBF3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679" w:type="dxa"/>
            <w:shd w:val="clear" w:color="auto" w:fill="FFFFFF"/>
            <w:tcMar>
              <w:top w:w="0" w:type="dxa"/>
              <w:left w:w="108" w:type="dxa"/>
              <w:bottom w:w="0" w:type="dxa"/>
              <w:right w:w="108" w:type="dxa"/>
            </w:tcMar>
            <w:vAlign w:val="center"/>
          </w:tcPr>
          <w:p w14:paraId="5BC1989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1、专职保安人员，身体健康，工作认真负责并定期接受培训。</w:t>
            </w:r>
          </w:p>
          <w:p w14:paraId="40E4989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2、能处理和应对小区公共秩序维护工作，能够熟悉、掌握各类刑事、治安案件和各类灾害事故的应急预案。</w:t>
            </w:r>
          </w:p>
          <w:p w14:paraId="3295198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3、上岗时佩带统一标志，穿戴统一制服，仪容仪表规范整齐。</w:t>
            </w:r>
          </w:p>
          <w:p w14:paraId="7CFAD26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4、配备对讲装置。</w:t>
            </w:r>
          </w:p>
        </w:tc>
      </w:tr>
      <w:tr w14:paraId="68ABA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D94A959">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585F899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5679" w:type="dxa"/>
            <w:shd w:val="clear" w:color="auto" w:fill="FFFFFF"/>
            <w:tcMar>
              <w:top w:w="0" w:type="dxa"/>
              <w:left w:w="108" w:type="dxa"/>
              <w:bottom w:w="0" w:type="dxa"/>
              <w:right w:w="108" w:type="dxa"/>
            </w:tcMar>
            <w:vAlign w:val="center"/>
          </w:tcPr>
          <w:p w14:paraId="5F831F6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1、主出入口24小时值班看守，并有详细交接班记录。</w:t>
            </w:r>
          </w:p>
          <w:p w14:paraId="68AE251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w:t>
            </w:r>
          </w:p>
        </w:tc>
      </w:tr>
      <w:tr w14:paraId="72330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5BEB708">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69290FC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5679" w:type="dxa"/>
            <w:shd w:val="clear" w:color="auto" w:fill="FFFFFF"/>
            <w:tcMar>
              <w:top w:w="0" w:type="dxa"/>
              <w:left w:w="108" w:type="dxa"/>
              <w:bottom w:w="0" w:type="dxa"/>
              <w:right w:w="108" w:type="dxa"/>
            </w:tcMar>
            <w:vAlign w:val="center"/>
          </w:tcPr>
          <w:p w14:paraId="33BB673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1、白天巡逻次数不少于4次，夜间重点部位巡逻2次，并有巡逻记录。</w:t>
            </w:r>
          </w:p>
          <w:p w14:paraId="51DF416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2、在遇到突发事件时，采取必要措施并及时报告管理处和相关部门。</w:t>
            </w:r>
          </w:p>
        </w:tc>
      </w:tr>
      <w:tr w14:paraId="084B0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276" w:type="dxa"/>
            <w:vMerge w:val="continue"/>
            <w:shd w:val="clear" w:color="auto" w:fill="FFFFFF"/>
            <w:vAlign w:val="center"/>
          </w:tcPr>
          <w:p w14:paraId="6DB8C55B">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3DA93AB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技防设施和救助</w:t>
            </w:r>
          </w:p>
          <w:p w14:paraId="5B2BD92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（监控岗）</w:t>
            </w:r>
          </w:p>
        </w:tc>
        <w:tc>
          <w:tcPr>
            <w:tcW w:w="5679" w:type="dxa"/>
            <w:shd w:val="clear" w:color="auto" w:fill="FFFFFF"/>
            <w:tcMar>
              <w:top w:w="0" w:type="dxa"/>
              <w:left w:w="108" w:type="dxa"/>
              <w:bottom w:w="0" w:type="dxa"/>
              <w:right w:w="108" w:type="dxa"/>
            </w:tcMar>
            <w:vAlign w:val="center"/>
          </w:tcPr>
          <w:p w14:paraId="3D305C0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1、小区主出入口、主干道应具备录像监控。</w:t>
            </w:r>
          </w:p>
          <w:p w14:paraId="764E689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2、监控中心接到报警信号后，保安人员应立即赶到现场进行处理。</w:t>
            </w:r>
          </w:p>
          <w:p w14:paraId="0065B8E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3、小区应有火警、水警、警情应急预案，并在监控中心控制室内悬挂。</w:t>
            </w:r>
          </w:p>
        </w:tc>
      </w:tr>
      <w:tr w14:paraId="1FBA6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276" w:type="dxa"/>
            <w:vMerge w:val="continue"/>
            <w:shd w:val="clear" w:color="auto" w:fill="FFFFFF"/>
            <w:vAlign w:val="center"/>
          </w:tcPr>
          <w:p w14:paraId="07BDC3E5">
            <w:pPr>
              <w:widowControl/>
              <w:snapToGrid w:val="0"/>
              <w:spacing w:line="400" w:lineRule="exact"/>
              <w:ind w:firstLine="307" w:firstLineChars="128"/>
              <w:jc w:val="center"/>
              <w:rPr>
                <w:rFonts w:ascii="方正仿宋_GBK" w:hAnsi="Times New Roman" w:eastAsia="方正仿宋_GBK"/>
                <w:color w:val="000000"/>
                <w:kern w:val="0"/>
                <w:sz w:val="24"/>
                <w:szCs w:val="24"/>
              </w:rPr>
            </w:pPr>
          </w:p>
        </w:tc>
        <w:tc>
          <w:tcPr>
            <w:tcW w:w="2294" w:type="dxa"/>
            <w:shd w:val="clear" w:color="auto" w:fill="FFFFFF"/>
            <w:tcMar>
              <w:top w:w="0" w:type="dxa"/>
              <w:left w:w="108" w:type="dxa"/>
              <w:bottom w:w="0" w:type="dxa"/>
              <w:right w:w="108" w:type="dxa"/>
            </w:tcMar>
            <w:vAlign w:val="center"/>
          </w:tcPr>
          <w:p w14:paraId="0BADED1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5679" w:type="dxa"/>
            <w:shd w:val="clear" w:color="auto" w:fill="FFFFFF"/>
            <w:tcMar>
              <w:top w:w="0" w:type="dxa"/>
              <w:left w:w="108" w:type="dxa"/>
              <w:bottom w:w="0" w:type="dxa"/>
              <w:right w:w="108" w:type="dxa"/>
            </w:tcMar>
            <w:vAlign w:val="center"/>
          </w:tcPr>
          <w:p w14:paraId="543D35F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1、地面、墙面有简易标志。</w:t>
            </w:r>
          </w:p>
          <w:p w14:paraId="11CA2F9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2、收费管理的车库内地面、墙面按车辆道路行驶要求设立标志牌，照明、消防器械配置齐全。</w:t>
            </w:r>
          </w:p>
        </w:tc>
      </w:tr>
    </w:tbl>
    <w:p w14:paraId="133EDEED">
      <w:pPr>
        <w:widowControl/>
        <w:snapToGrid w:val="0"/>
        <w:spacing w:line="560" w:lineRule="exact"/>
        <w:ind w:firstLine="308" w:firstLineChars="128"/>
        <w:rPr>
          <w:rFonts w:ascii="方正仿宋_GBK" w:hAnsi="Times New Roman" w:eastAsia="方正仿宋_GBK"/>
          <w:b/>
          <w:color w:val="000000"/>
          <w:kern w:val="0"/>
          <w:sz w:val="24"/>
          <w:szCs w:val="24"/>
        </w:rPr>
      </w:pPr>
    </w:p>
    <w:p w14:paraId="17378455">
      <w:pPr>
        <w:widowControl/>
        <w:snapToGrid w:val="0"/>
        <w:spacing w:line="560" w:lineRule="exact"/>
        <w:ind w:firstLine="463" w:firstLineChars="128"/>
        <w:jc w:val="center"/>
        <w:rPr>
          <w:rFonts w:ascii="方正黑体_GBK" w:hAnsi="Times New Roman" w:eastAsia="方正黑体_GBK"/>
          <w:b/>
          <w:color w:val="000000"/>
          <w:kern w:val="0"/>
          <w:sz w:val="36"/>
          <w:szCs w:val="36"/>
        </w:rPr>
      </w:pPr>
    </w:p>
    <w:p w14:paraId="3A3EC836">
      <w:pPr>
        <w:widowControl/>
        <w:snapToGrid w:val="0"/>
        <w:spacing w:line="560" w:lineRule="exact"/>
        <w:ind w:firstLine="463" w:firstLineChars="128"/>
        <w:jc w:val="center"/>
        <w:rPr>
          <w:rFonts w:ascii="方正黑体_GBK" w:hAnsi="Times New Roman" w:eastAsia="方正黑体_GBK"/>
          <w:b/>
          <w:color w:val="000000"/>
          <w:kern w:val="0"/>
          <w:sz w:val="36"/>
          <w:szCs w:val="36"/>
        </w:rPr>
      </w:pPr>
    </w:p>
    <w:p w14:paraId="77559943">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宜兴市普通住宅物业服务等级四级服务标准</w:t>
      </w:r>
    </w:p>
    <w:p w14:paraId="2A6FC66B">
      <w:pPr>
        <w:widowControl/>
        <w:snapToGrid w:val="0"/>
        <w:spacing w:line="480" w:lineRule="exact"/>
        <w:ind w:firstLine="307" w:firstLineChars="128"/>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(指导价1.40元/㎡·月，不含电梯运行维护费、公共能耗费)</w:t>
      </w:r>
    </w:p>
    <w:p w14:paraId="1E963FDB">
      <w:pPr>
        <w:widowControl/>
        <w:snapToGrid w:val="0"/>
        <w:spacing w:line="480" w:lineRule="exact"/>
        <w:ind w:firstLine="307" w:firstLineChars="128"/>
        <w:jc w:val="center"/>
        <w:rPr>
          <w:rFonts w:ascii="方正仿宋_GBK" w:hAnsi="Times New Roman" w:eastAsia="方正仿宋_GBK"/>
          <w:color w:val="000000"/>
          <w:kern w:val="0"/>
          <w:sz w:val="24"/>
          <w:szCs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74"/>
        <w:gridCol w:w="2399"/>
        <w:gridCol w:w="5775"/>
      </w:tblGrid>
      <w:tr w14:paraId="45EC8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650" w:hRule="atLeast"/>
        </w:trPr>
        <w:tc>
          <w:tcPr>
            <w:tcW w:w="1174" w:type="dxa"/>
            <w:shd w:val="clear" w:color="auto" w:fill="FFFFFF"/>
            <w:tcMar>
              <w:top w:w="0" w:type="dxa"/>
              <w:left w:w="108" w:type="dxa"/>
              <w:bottom w:w="0" w:type="dxa"/>
              <w:right w:w="108" w:type="dxa"/>
            </w:tcMar>
            <w:vAlign w:val="center"/>
          </w:tcPr>
          <w:p w14:paraId="615DBAC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399" w:type="dxa"/>
            <w:shd w:val="clear" w:color="auto" w:fill="FFFFFF"/>
            <w:tcMar>
              <w:top w:w="0" w:type="dxa"/>
              <w:left w:w="108" w:type="dxa"/>
              <w:bottom w:w="0" w:type="dxa"/>
              <w:right w:w="108" w:type="dxa"/>
            </w:tcMar>
            <w:vAlign w:val="center"/>
          </w:tcPr>
          <w:p w14:paraId="07A38B2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5775" w:type="dxa"/>
            <w:shd w:val="clear" w:color="auto" w:fill="FFFFFF"/>
            <w:tcMar>
              <w:top w:w="0" w:type="dxa"/>
              <w:left w:w="108" w:type="dxa"/>
              <w:bottom w:w="0" w:type="dxa"/>
              <w:right w:w="108" w:type="dxa"/>
            </w:tcMar>
            <w:vAlign w:val="center"/>
          </w:tcPr>
          <w:p w14:paraId="1AFFA5EA">
            <w:pPr>
              <w:widowControl/>
              <w:snapToGrid w:val="0"/>
              <w:spacing w:line="400" w:lineRule="exact"/>
              <w:ind w:firstLine="48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4A14F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174" w:type="dxa"/>
            <w:vMerge w:val="restart"/>
            <w:shd w:val="clear" w:color="auto" w:fill="FFFFFF"/>
            <w:tcMar>
              <w:top w:w="0" w:type="dxa"/>
              <w:left w:w="108" w:type="dxa"/>
              <w:bottom w:w="0" w:type="dxa"/>
              <w:right w:w="108" w:type="dxa"/>
            </w:tcMar>
            <w:vAlign w:val="center"/>
          </w:tcPr>
          <w:p w14:paraId="4EF7A04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03D3969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399" w:type="dxa"/>
            <w:shd w:val="clear" w:color="auto" w:fill="FFFFFF"/>
            <w:tcMar>
              <w:top w:w="0" w:type="dxa"/>
              <w:left w:w="108" w:type="dxa"/>
              <w:bottom w:w="0" w:type="dxa"/>
              <w:right w:w="108" w:type="dxa"/>
            </w:tcMar>
            <w:vAlign w:val="center"/>
          </w:tcPr>
          <w:p w14:paraId="3F57A77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5775" w:type="dxa"/>
            <w:shd w:val="clear" w:color="auto" w:fill="FFFFFF"/>
            <w:tcMar>
              <w:top w:w="0" w:type="dxa"/>
              <w:left w:w="108" w:type="dxa"/>
              <w:bottom w:w="0" w:type="dxa"/>
              <w:right w:w="108" w:type="dxa"/>
            </w:tcMar>
            <w:vAlign w:val="center"/>
          </w:tcPr>
          <w:p w14:paraId="46170DD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276E767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2、配置办公家具、电话、电脑、打印机等办公设施及办公用品。</w:t>
            </w:r>
          </w:p>
        </w:tc>
      </w:tr>
      <w:tr w14:paraId="28B19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5" w:hRule="atLeast"/>
        </w:trPr>
        <w:tc>
          <w:tcPr>
            <w:tcW w:w="1174" w:type="dxa"/>
            <w:vMerge w:val="continue"/>
            <w:shd w:val="clear" w:color="auto" w:fill="FFFFFF"/>
            <w:vAlign w:val="center"/>
          </w:tcPr>
          <w:p w14:paraId="08E1D116">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1A0C19E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775" w:type="dxa"/>
            <w:shd w:val="clear" w:color="auto" w:fill="FFFFFF"/>
            <w:tcMar>
              <w:top w:w="0" w:type="dxa"/>
              <w:left w:w="108" w:type="dxa"/>
              <w:bottom w:w="0" w:type="dxa"/>
              <w:right w:w="108" w:type="dxa"/>
            </w:tcMar>
            <w:vAlign w:val="center"/>
          </w:tcPr>
          <w:p w14:paraId="258AC5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1、小区经理有物业管理员上岗证和项目经理上岗证，有两年以上物业管理工作经验。</w:t>
            </w:r>
          </w:p>
          <w:p w14:paraId="0AC4C5E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2、管理人员服装统一，挂牌上岗，仪表整洁规范。</w:t>
            </w:r>
          </w:p>
        </w:tc>
      </w:tr>
      <w:tr w14:paraId="778B6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9" w:hRule="atLeast"/>
        </w:trPr>
        <w:tc>
          <w:tcPr>
            <w:tcW w:w="1174" w:type="dxa"/>
            <w:vMerge w:val="continue"/>
            <w:shd w:val="clear" w:color="auto" w:fill="FFFFFF"/>
            <w:vAlign w:val="center"/>
          </w:tcPr>
          <w:p w14:paraId="6C95863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3BF2793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5775" w:type="dxa"/>
            <w:shd w:val="clear" w:color="auto" w:fill="FFFFFF"/>
            <w:tcMar>
              <w:top w:w="0" w:type="dxa"/>
              <w:left w:w="108" w:type="dxa"/>
              <w:bottom w:w="0" w:type="dxa"/>
              <w:right w:w="108" w:type="dxa"/>
            </w:tcMar>
            <w:vAlign w:val="center"/>
          </w:tcPr>
          <w:p w14:paraId="12B4450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管理处周一至周五每天8小时业务接待，周六周日提供值班服务。</w:t>
            </w:r>
          </w:p>
        </w:tc>
      </w:tr>
      <w:tr w14:paraId="10CBE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78" w:hRule="atLeast"/>
        </w:trPr>
        <w:tc>
          <w:tcPr>
            <w:tcW w:w="1174" w:type="dxa"/>
            <w:vMerge w:val="continue"/>
            <w:shd w:val="clear" w:color="auto" w:fill="FFFFFF"/>
            <w:vAlign w:val="center"/>
          </w:tcPr>
          <w:p w14:paraId="1F293C7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42C7F50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5775" w:type="dxa"/>
            <w:shd w:val="clear" w:color="auto" w:fill="FFFFFF"/>
            <w:tcMar>
              <w:top w:w="0" w:type="dxa"/>
              <w:left w:w="108" w:type="dxa"/>
              <w:bottom w:w="0" w:type="dxa"/>
              <w:right w:w="108" w:type="dxa"/>
            </w:tcMar>
            <w:vAlign w:val="center"/>
          </w:tcPr>
          <w:p w14:paraId="73B5E4D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1、24小时受理业主或使用人报修。急修半小时内到现场处理，一般修理三天内完成（预约除外）。</w:t>
            </w:r>
          </w:p>
          <w:p w14:paraId="3A0AD72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2、对业主或使用人的投诉在3天内答复处理。</w:t>
            </w:r>
          </w:p>
          <w:p w14:paraId="64362A0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3、公示服务标准和收费标准，每半年向业主公布财务状况1次，公共水电费能耗分摊每半年向业主公布1次。</w:t>
            </w:r>
          </w:p>
          <w:p w14:paraId="3452897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4、制定小区物业服务年度计划并组织实施，每半年向委托方报告1次计划实施情况。</w:t>
            </w:r>
          </w:p>
          <w:p w14:paraId="11E56CE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5、制定小区房屋装修申请、验收等装修管理制度，对不符合规定的行为、现象及时劝阻、制止或报告。</w:t>
            </w:r>
          </w:p>
          <w:p w14:paraId="6A0D1BD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6、建立业主档案、收费管理、设备管理等记录。</w:t>
            </w:r>
          </w:p>
          <w:p w14:paraId="3404A37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7、能提供两种以上特约服务（有偿）和一种以上便民（无偿）服务；每年组织1次以上的社区活动。</w:t>
            </w:r>
          </w:p>
        </w:tc>
      </w:tr>
      <w:tr w14:paraId="73D4D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restart"/>
            <w:shd w:val="clear" w:color="auto" w:fill="FFFFFF"/>
            <w:tcMar>
              <w:top w:w="0" w:type="dxa"/>
              <w:left w:w="108" w:type="dxa"/>
              <w:bottom w:w="0" w:type="dxa"/>
              <w:right w:w="108" w:type="dxa"/>
            </w:tcMar>
            <w:vAlign w:val="center"/>
          </w:tcPr>
          <w:p w14:paraId="37F808E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192583B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399" w:type="dxa"/>
            <w:shd w:val="clear" w:color="auto" w:fill="FFFFFF"/>
            <w:tcMar>
              <w:top w:w="0" w:type="dxa"/>
              <w:left w:w="108" w:type="dxa"/>
              <w:bottom w:w="0" w:type="dxa"/>
              <w:right w:w="108" w:type="dxa"/>
            </w:tcMar>
            <w:vAlign w:val="center"/>
          </w:tcPr>
          <w:p w14:paraId="04F516E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5775" w:type="dxa"/>
            <w:shd w:val="clear" w:color="auto" w:fill="FFFFFF"/>
            <w:tcMar>
              <w:top w:w="0" w:type="dxa"/>
              <w:left w:w="108" w:type="dxa"/>
              <w:bottom w:w="0" w:type="dxa"/>
              <w:right w:w="108" w:type="dxa"/>
            </w:tcMar>
            <w:vAlign w:val="center"/>
          </w:tcPr>
          <w:p w14:paraId="4C2513C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每周打扫2次；每周擦拭1次楼梯扶手；每季楼梯间墙面、顶面除尘1次。</w:t>
            </w:r>
          </w:p>
        </w:tc>
      </w:tr>
      <w:tr w14:paraId="18EE2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60F6DB3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3312B93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w:t>
            </w:r>
          </w:p>
          <w:p w14:paraId="5D3C466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电梯厅保洁</w:t>
            </w:r>
          </w:p>
        </w:tc>
        <w:tc>
          <w:tcPr>
            <w:tcW w:w="5775" w:type="dxa"/>
            <w:shd w:val="clear" w:color="auto" w:fill="FFFFFF"/>
            <w:tcMar>
              <w:top w:w="0" w:type="dxa"/>
              <w:left w:w="108" w:type="dxa"/>
              <w:bottom w:w="0" w:type="dxa"/>
              <w:right w:w="108" w:type="dxa"/>
            </w:tcMar>
            <w:vAlign w:val="center"/>
          </w:tcPr>
          <w:p w14:paraId="43B906A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每日清洁1次；每周对电梯轿厢进行全面的清洁1次；每季度对电梯门壁打腊上光1次。</w:t>
            </w:r>
          </w:p>
        </w:tc>
      </w:tr>
      <w:tr w14:paraId="32D7D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72E0D71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61D2ED4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5775" w:type="dxa"/>
            <w:shd w:val="clear" w:color="auto" w:fill="FFFFFF"/>
            <w:tcMar>
              <w:top w:w="0" w:type="dxa"/>
              <w:left w:w="108" w:type="dxa"/>
              <w:bottom w:w="0" w:type="dxa"/>
              <w:right w:w="108" w:type="dxa"/>
            </w:tcMar>
            <w:vAlign w:val="center"/>
          </w:tcPr>
          <w:p w14:paraId="6D89127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每日清洁2次、消杀1次。</w:t>
            </w:r>
          </w:p>
        </w:tc>
      </w:tr>
      <w:tr w14:paraId="7C137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3A4EEC6">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3A45CB4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停车场、共用车库或车棚保洁</w:t>
            </w:r>
          </w:p>
        </w:tc>
        <w:tc>
          <w:tcPr>
            <w:tcW w:w="5775" w:type="dxa"/>
            <w:shd w:val="clear" w:color="auto" w:fill="FFFFFF"/>
            <w:tcMar>
              <w:top w:w="0" w:type="dxa"/>
              <w:left w:w="108" w:type="dxa"/>
              <w:bottom w:w="0" w:type="dxa"/>
              <w:right w:w="108" w:type="dxa"/>
            </w:tcMar>
            <w:vAlign w:val="center"/>
          </w:tcPr>
          <w:p w14:paraId="1F41117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每周清扫1次车库，每季进行1次地下室消杀工作。</w:t>
            </w:r>
          </w:p>
        </w:tc>
      </w:tr>
      <w:tr w14:paraId="30DBE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7962004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697BA4E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5775" w:type="dxa"/>
            <w:shd w:val="clear" w:color="auto" w:fill="FFFFFF"/>
            <w:tcMar>
              <w:top w:w="0" w:type="dxa"/>
              <w:left w:w="108" w:type="dxa"/>
              <w:bottom w:w="0" w:type="dxa"/>
              <w:right w:w="108" w:type="dxa"/>
            </w:tcMar>
            <w:vAlign w:val="center"/>
          </w:tcPr>
          <w:p w14:paraId="16AF3AC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w:t>
            </w:r>
          </w:p>
        </w:tc>
      </w:tr>
      <w:tr w14:paraId="7F90D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47A346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50BF29A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标识、宣传牌、信报箱保洁</w:t>
            </w:r>
          </w:p>
        </w:tc>
        <w:tc>
          <w:tcPr>
            <w:tcW w:w="5775" w:type="dxa"/>
            <w:shd w:val="clear" w:color="auto" w:fill="FFFFFF"/>
            <w:tcMar>
              <w:top w:w="0" w:type="dxa"/>
              <w:left w:w="108" w:type="dxa"/>
              <w:bottom w:w="0" w:type="dxa"/>
              <w:right w:w="108" w:type="dxa"/>
            </w:tcMar>
            <w:vAlign w:val="center"/>
          </w:tcPr>
          <w:p w14:paraId="5C84F12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标识、宣传牌每周擦拭1次，雕塑、信报箱每季度擦拭1次。</w:t>
            </w:r>
          </w:p>
        </w:tc>
      </w:tr>
      <w:tr w14:paraId="4FBB9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640CE03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592B7F3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休闲、娱乐、健身设施</w:t>
            </w:r>
          </w:p>
        </w:tc>
        <w:tc>
          <w:tcPr>
            <w:tcW w:w="5775" w:type="dxa"/>
            <w:shd w:val="clear" w:color="auto" w:fill="FFFFFF"/>
            <w:tcMar>
              <w:top w:w="0" w:type="dxa"/>
              <w:left w:w="108" w:type="dxa"/>
              <w:bottom w:w="0" w:type="dxa"/>
              <w:right w:w="108" w:type="dxa"/>
            </w:tcMar>
            <w:vAlign w:val="center"/>
          </w:tcPr>
          <w:p w14:paraId="2A48E52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每周清洁2次。</w:t>
            </w:r>
          </w:p>
        </w:tc>
      </w:tr>
      <w:tr w14:paraId="7C942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73846A2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4D88526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门卫、岗亭、监控探头保洁</w:t>
            </w:r>
          </w:p>
        </w:tc>
        <w:tc>
          <w:tcPr>
            <w:tcW w:w="5775" w:type="dxa"/>
            <w:shd w:val="clear" w:color="auto" w:fill="FFFFFF"/>
            <w:tcMar>
              <w:top w:w="0" w:type="dxa"/>
              <w:left w:w="108" w:type="dxa"/>
              <w:bottom w:w="0" w:type="dxa"/>
              <w:right w:w="108" w:type="dxa"/>
            </w:tcMar>
            <w:vAlign w:val="center"/>
          </w:tcPr>
          <w:p w14:paraId="618A0B9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门卫、岗亭每日清洁1次，监控探头每季度擦拭1次。</w:t>
            </w:r>
          </w:p>
        </w:tc>
      </w:tr>
      <w:tr w14:paraId="51156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07EDDD07">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02B55E2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5775" w:type="dxa"/>
            <w:shd w:val="clear" w:color="auto" w:fill="FFFFFF"/>
            <w:tcMar>
              <w:top w:w="0" w:type="dxa"/>
              <w:left w:w="108" w:type="dxa"/>
              <w:bottom w:w="0" w:type="dxa"/>
              <w:right w:w="108" w:type="dxa"/>
            </w:tcMar>
            <w:vAlign w:val="center"/>
          </w:tcPr>
          <w:p w14:paraId="28F3101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垃圾每日收集2次，垃圾桶、果皮箱每月擦拭2次。</w:t>
            </w:r>
          </w:p>
        </w:tc>
      </w:tr>
      <w:tr w14:paraId="676F6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019DB7A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1B1150D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5775" w:type="dxa"/>
            <w:shd w:val="clear" w:color="auto" w:fill="FFFFFF"/>
            <w:tcMar>
              <w:top w:w="0" w:type="dxa"/>
              <w:left w:w="108" w:type="dxa"/>
              <w:bottom w:w="0" w:type="dxa"/>
              <w:right w:w="108" w:type="dxa"/>
            </w:tcMar>
            <w:vAlign w:val="center"/>
          </w:tcPr>
          <w:p w14:paraId="7D5C051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小区内定点设置垃圾收集箱或点，每日定时清理1次；垃圾收集箱或点周围地面无散落垃圾、无污迹、无异味，每月清洗2次。</w:t>
            </w:r>
          </w:p>
        </w:tc>
      </w:tr>
      <w:tr w14:paraId="0FED4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10FB9A1C">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6FEB03C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5775" w:type="dxa"/>
            <w:shd w:val="clear" w:color="auto" w:fill="FFFFFF"/>
            <w:tcMar>
              <w:top w:w="0" w:type="dxa"/>
              <w:left w:w="108" w:type="dxa"/>
              <w:bottom w:w="0" w:type="dxa"/>
              <w:right w:w="108" w:type="dxa"/>
            </w:tcMar>
            <w:vAlign w:val="center"/>
          </w:tcPr>
          <w:p w14:paraId="148FC1A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灭鼠、灭蚊等每年至少进行3次。</w:t>
            </w:r>
          </w:p>
        </w:tc>
      </w:tr>
      <w:tr w14:paraId="75A8D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44504CD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0556F62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5775" w:type="dxa"/>
            <w:shd w:val="clear" w:color="auto" w:fill="FFFFFF"/>
            <w:tcMar>
              <w:top w:w="0" w:type="dxa"/>
              <w:left w:w="108" w:type="dxa"/>
              <w:bottom w:w="0" w:type="dxa"/>
              <w:right w:w="108" w:type="dxa"/>
            </w:tcMar>
            <w:vAlign w:val="center"/>
          </w:tcPr>
          <w:p w14:paraId="58A2CD6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每季清理1次，保持清洁、无垃圾。</w:t>
            </w:r>
          </w:p>
        </w:tc>
      </w:tr>
      <w:tr w14:paraId="07D87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9" w:hRule="atLeast"/>
        </w:trPr>
        <w:tc>
          <w:tcPr>
            <w:tcW w:w="1174" w:type="dxa"/>
            <w:vMerge w:val="restart"/>
            <w:shd w:val="clear" w:color="auto" w:fill="FFFFFF"/>
            <w:tcMar>
              <w:top w:w="0" w:type="dxa"/>
              <w:left w:w="108" w:type="dxa"/>
              <w:bottom w:w="0" w:type="dxa"/>
              <w:right w:w="108" w:type="dxa"/>
            </w:tcMar>
            <w:vAlign w:val="center"/>
          </w:tcPr>
          <w:p w14:paraId="1D897C6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399" w:type="dxa"/>
            <w:shd w:val="clear" w:color="auto" w:fill="FFFFFF"/>
            <w:tcMar>
              <w:top w:w="0" w:type="dxa"/>
              <w:left w:w="108" w:type="dxa"/>
              <w:bottom w:w="0" w:type="dxa"/>
              <w:right w:w="108" w:type="dxa"/>
            </w:tcMar>
            <w:vAlign w:val="center"/>
          </w:tcPr>
          <w:p w14:paraId="0DF5ED3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公共部位门窗</w:t>
            </w:r>
          </w:p>
        </w:tc>
        <w:tc>
          <w:tcPr>
            <w:tcW w:w="5775" w:type="dxa"/>
            <w:shd w:val="clear" w:color="auto" w:fill="FFFFFF"/>
            <w:tcMar>
              <w:top w:w="0" w:type="dxa"/>
              <w:left w:w="108" w:type="dxa"/>
              <w:bottom w:w="0" w:type="dxa"/>
              <w:right w:w="108" w:type="dxa"/>
            </w:tcMar>
            <w:vAlign w:val="center"/>
          </w:tcPr>
          <w:p w14:paraId="220ADD2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每周巡视楼内公共部位门窗，保持玻璃、门窗配件完好，门、窗开闭灵活并无异常声响。</w:t>
            </w:r>
          </w:p>
        </w:tc>
      </w:tr>
      <w:tr w14:paraId="5DA0E0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1B7A6C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3A105CA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5775" w:type="dxa"/>
            <w:shd w:val="clear" w:color="auto" w:fill="FFFFFF"/>
            <w:tcMar>
              <w:top w:w="0" w:type="dxa"/>
              <w:left w:w="108" w:type="dxa"/>
              <w:bottom w:w="0" w:type="dxa"/>
              <w:right w:w="108" w:type="dxa"/>
            </w:tcMar>
            <w:vAlign w:val="center"/>
          </w:tcPr>
          <w:p w14:paraId="42E54E7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每月1次巡查围墙，发现损坏立即修复，铁栅栏围墙表面无锈蚀，保持围墙完好。</w:t>
            </w:r>
          </w:p>
        </w:tc>
      </w:tr>
      <w:tr w14:paraId="5B547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21A83BD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196C697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5775" w:type="dxa"/>
            <w:shd w:val="clear" w:color="auto" w:fill="FFFFFF"/>
            <w:tcMar>
              <w:top w:w="0" w:type="dxa"/>
              <w:left w:w="108" w:type="dxa"/>
              <w:bottom w:w="0" w:type="dxa"/>
              <w:right w:w="108" w:type="dxa"/>
            </w:tcMar>
            <w:vAlign w:val="center"/>
          </w:tcPr>
          <w:p w14:paraId="10D9ED6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每月1次巡查道路、路面、侧石、井盖等，发现损坏及时修复，保持路面平整、无破损。</w:t>
            </w:r>
          </w:p>
        </w:tc>
      </w:tr>
      <w:tr w14:paraId="6C452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5F12109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2F4EE3B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5775" w:type="dxa"/>
            <w:shd w:val="clear" w:color="auto" w:fill="FFFFFF"/>
            <w:tcMar>
              <w:top w:w="0" w:type="dxa"/>
              <w:left w:w="108" w:type="dxa"/>
              <w:bottom w:w="0" w:type="dxa"/>
              <w:right w:w="108" w:type="dxa"/>
            </w:tcMar>
            <w:vAlign w:val="center"/>
          </w:tcPr>
          <w:p w14:paraId="784BA4A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每月清扫1次排水明沟，每半年对地下管井彻底疏通1次，每年对地下管井清理1次。</w:t>
            </w:r>
          </w:p>
        </w:tc>
      </w:tr>
      <w:tr w14:paraId="16434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2F6EE1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5F385A6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5775" w:type="dxa"/>
            <w:shd w:val="clear" w:color="auto" w:fill="FFFFFF"/>
            <w:tcMar>
              <w:top w:w="0" w:type="dxa"/>
              <w:left w:w="108" w:type="dxa"/>
              <w:bottom w:w="0" w:type="dxa"/>
              <w:right w:w="108" w:type="dxa"/>
            </w:tcMar>
            <w:vAlign w:val="center"/>
          </w:tcPr>
          <w:p w14:paraId="268FC8C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饮用水水池(箱)每半年清洗消毒1次，水质化验达标，每季清扫1次泵房。</w:t>
            </w:r>
          </w:p>
        </w:tc>
      </w:tr>
      <w:tr w14:paraId="2DFC4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174" w:type="dxa"/>
            <w:vMerge w:val="continue"/>
            <w:shd w:val="clear" w:color="auto" w:fill="FFFFFF"/>
            <w:vAlign w:val="center"/>
          </w:tcPr>
          <w:p w14:paraId="0A7B28E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093ED64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公共部位照明灯、景观灯等</w:t>
            </w:r>
          </w:p>
        </w:tc>
        <w:tc>
          <w:tcPr>
            <w:tcW w:w="5775" w:type="dxa"/>
            <w:shd w:val="clear" w:color="auto" w:fill="FFFFFF"/>
            <w:tcMar>
              <w:top w:w="0" w:type="dxa"/>
              <w:left w:w="108" w:type="dxa"/>
              <w:bottom w:w="0" w:type="dxa"/>
              <w:right w:w="108" w:type="dxa"/>
            </w:tcMar>
            <w:vAlign w:val="center"/>
          </w:tcPr>
          <w:p w14:paraId="1A57E49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w:t>
            </w:r>
          </w:p>
        </w:tc>
      </w:tr>
      <w:tr w14:paraId="1701D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81" w:hRule="atLeast"/>
        </w:trPr>
        <w:tc>
          <w:tcPr>
            <w:tcW w:w="1174" w:type="dxa"/>
            <w:vMerge w:val="continue"/>
            <w:shd w:val="clear" w:color="auto" w:fill="FFFFFF"/>
            <w:vAlign w:val="center"/>
          </w:tcPr>
          <w:p w14:paraId="7F760F7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5BCBDDA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5775" w:type="dxa"/>
            <w:shd w:val="clear" w:color="auto" w:fill="FFFFFF"/>
            <w:tcMar>
              <w:top w:w="0" w:type="dxa"/>
              <w:left w:w="108" w:type="dxa"/>
              <w:bottom w:w="0" w:type="dxa"/>
              <w:right w:w="108" w:type="dxa"/>
            </w:tcMar>
            <w:vAlign w:val="center"/>
          </w:tcPr>
          <w:p w14:paraId="3BA234D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1、消防泵每季启动1次并作记录，每年保养1次，保证其运行正常。</w:t>
            </w:r>
          </w:p>
          <w:p w14:paraId="1B64A5F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2、消防栓每月巡查1次，消防栓箱内各种配件完好。</w:t>
            </w:r>
          </w:p>
          <w:p w14:paraId="35B4269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3、每年试验1次探测器。</w:t>
            </w:r>
          </w:p>
          <w:p w14:paraId="1E8D578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4、每半年检查1次消防水带、阀杆处加注润滑油并作1次放水检查。</w:t>
            </w:r>
          </w:p>
          <w:p w14:paraId="73E8B9F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5、每月检查1次灭火器，临近失效立即更新或充压。</w:t>
            </w:r>
          </w:p>
        </w:tc>
      </w:tr>
      <w:tr w14:paraId="65AAD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7350AAD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65B97AF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5775" w:type="dxa"/>
            <w:shd w:val="clear" w:color="auto" w:fill="FFFFFF"/>
            <w:tcMar>
              <w:top w:w="0" w:type="dxa"/>
              <w:left w:w="108" w:type="dxa"/>
              <w:bottom w:w="0" w:type="dxa"/>
              <w:right w:w="108" w:type="dxa"/>
            </w:tcMar>
            <w:vAlign w:val="center"/>
          </w:tcPr>
          <w:p w14:paraId="5E3001A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每月巡查1次小区房屋单元门、楼道、管线井道、机房以及其它共用设施设备,并及时维修养护，保证正常运行；小区主要道路及停车场交通标志齐全。</w:t>
            </w:r>
          </w:p>
        </w:tc>
      </w:tr>
      <w:tr w14:paraId="6C71F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6" w:hRule="atLeast"/>
        </w:trPr>
        <w:tc>
          <w:tcPr>
            <w:tcW w:w="1174" w:type="dxa"/>
            <w:vMerge w:val="restart"/>
            <w:shd w:val="clear" w:color="auto" w:fill="FFFFFF"/>
            <w:tcMar>
              <w:top w:w="0" w:type="dxa"/>
              <w:left w:w="108" w:type="dxa"/>
              <w:bottom w:w="0" w:type="dxa"/>
              <w:right w:w="108" w:type="dxa"/>
            </w:tcMar>
            <w:vAlign w:val="center"/>
          </w:tcPr>
          <w:p w14:paraId="44A424B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园林绿化养护与管理</w:t>
            </w:r>
          </w:p>
        </w:tc>
        <w:tc>
          <w:tcPr>
            <w:tcW w:w="2399" w:type="dxa"/>
            <w:shd w:val="clear" w:color="auto" w:fill="FFFFFF"/>
            <w:tcMar>
              <w:top w:w="0" w:type="dxa"/>
              <w:left w:w="108" w:type="dxa"/>
              <w:bottom w:w="0" w:type="dxa"/>
              <w:right w:w="108" w:type="dxa"/>
            </w:tcMar>
            <w:vAlign w:val="center"/>
          </w:tcPr>
          <w:p w14:paraId="3E67744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5775" w:type="dxa"/>
            <w:shd w:val="clear" w:color="auto" w:fill="FFFFFF"/>
            <w:tcMar>
              <w:top w:w="0" w:type="dxa"/>
              <w:left w:w="108" w:type="dxa"/>
              <w:bottom w:w="0" w:type="dxa"/>
              <w:right w:w="108" w:type="dxa"/>
            </w:tcMar>
            <w:vAlign w:val="center"/>
          </w:tcPr>
          <w:p w14:paraId="57559F2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乔、灌、地被、草配植科学，层次丰富、季相分明。乔灌木生长健壮，树冠完整，形态优美；花灌木按时开花结果，球、篱、地被生长茂盛，无缺枝、空挡。</w:t>
            </w:r>
          </w:p>
        </w:tc>
      </w:tr>
      <w:tr w14:paraId="5871A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1174" w:type="dxa"/>
            <w:vMerge w:val="continue"/>
            <w:shd w:val="clear" w:color="auto" w:fill="FFFFFF"/>
            <w:vAlign w:val="center"/>
          </w:tcPr>
          <w:p w14:paraId="0898880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6CEB58A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5775" w:type="dxa"/>
            <w:shd w:val="clear" w:color="auto" w:fill="FFFFFF"/>
            <w:tcMar>
              <w:top w:w="0" w:type="dxa"/>
              <w:left w:w="108" w:type="dxa"/>
              <w:bottom w:w="0" w:type="dxa"/>
              <w:right w:w="108" w:type="dxa"/>
            </w:tcMar>
            <w:vAlign w:val="center"/>
          </w:tcPr>
          <w:p w14:paraId="6A9279A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成活率85%以上，每年修剪3次，除虫施肥每年1次。</w:t>
            </w:r>
          </w:p>
        </w:tc>
      </w:tr>
      <w:tr w14:paraId="6A870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3" w:hRule="atLeast"/>
        </w:trPr>
        <w:tc>
          <w:tcPr>
            <w:tcW w:w="1174" w:type="dxa"/>
            <w:vMerge w:val="continue"/>
            <w:shd w:val="clear" w:color="auto" w:fill="FFFFFF"/>
            <w:vAlign w:val="center"/>
          </w:tcPr>
          <w:p w14:paraId="25200581">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08C9C3B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5775" w:type="dxa"/>
            <w:shd w:val="clear" w:color="auto" w:fill="FFFFFF"/>
            <w:tcMar>
              <w:top w:w="0" w:type="dxa"/>
              <w:left w:w="108" w:type="dxa"/>
              <w:bottom w:w="0" w:type="dxa"/>
              <w:right w:w="108" w:type="dxa"/>
            </w:tcMar>
            <w:vAlign w:val="center"/>
          </w:tcPr>
          <w:p w14:paraId="42C1304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成活率85%以上，每年修剪2次，除虫施肥每年1次。</w:t>
            </w:r>
          </w:p>
        </w:tc>
      </w:tr>
      <w:tr w14:paraId="092D6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5" w:hRule="atLeast"/>
        </w:trPr>
        <w:tc>
          <w:tcPr>
            <w:tcW w:w="1174" w:type="dxa"/>
            <w:vMerge w:val="continue"/>
            <w:shd w:val="clear" w:color="auto" w:fill="FFFFFF"/>
            <w:vAlign w:val="center"/>
          </w:tcPr>
          <w:p w14:paraId="7245CFA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1ED4A56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5775" w:type="dxa"/>
            <w:shd w:val="clear" w:color="auto" w:fill="FFFFFF"/>
            <w:tcMar>
              <w:top w:w="0" w:type="dxa"/>
              <w:left w:w="108" w:type="dxa"/>
              <w:bottom w:w="0" w:type="dxa"/>
              <w:right w:w="108" w:type="dxa"/>
            </w:tcMar>
            <w:vAlign w:val="center"/>
          </w:tcPr>
          <w:p w14:paraId="748D15D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水面每月清捞1次。</w:t>
            </w:r>
          </w:p>
        </w:tc>
      </w:tr>
      <w:tr w14:paraId="13ABB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4" w:hRule="atLeast"/>
        </w:trPr>
        <w:tc>
          <w:tcPr>
            <w:tcW w:w="1174" w:type="dxa"/>
            <w:vMerge w:val="continue"/>
            <w:shd w:val="clear" w:color="auto" w:fill="FFFFFF"/>
            <w:vAlign w:val="center"/>
          </w:tcPr>
          <w:p w14:paraId="6315D2B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5DE1E8B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5775" w:type="dxa"/>
            <w:shd w:val="clear" w:color="auto" w:fill="FFFFFF"/>
            <w:tcMar>
              <w:top w:w="0" w:type="dxa"/>
              <w:left w:w="108" w:type="dxa"/>
              <w:bottom w:w="0" w:type="dxa"/>
              <w:right w:w="108" w:type="dxa"/>
            </w:tcMar>
            <w:vAlign w:val="center"/>
          </w:tcPr>
          <w:p w14:paraId="0F78ED9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每季度清洁、整修1次。</w:t>
            </w:r>
          </w:p>
        </w:tc>
      </w:tr>
      <w:tr w14:paraId="63FD1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47" w:hRule="atLeast"/>
        </w:trPr>
        <w:tc>
          <w:tcPr>
            <w:tcW w:w="1174" w:type="dxa"/>
            <w:vMerge w:val="restart"/>
            <w:shd w:val="clear" w:color="auto" w:fill="FFFFFF"/>
            <w:tcMar>
              <w:top w:w="0" w:type="dxa"/>
              <w:left w:w="108" w:type="dxa"/>
              <w:bottom w:w="0" w:type="dxa"/>
              <w:right w:w="108" w:type="dxa"/>
            </w:tcMar>
            <w:vAlign w:val="center"/>
          </w:tcPr>
          <w:p w14:paraId="5011F42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w:t>
            </w:r>
          </w:p>
          <w:p w14:paraId="7D9702C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防范</w:t>
            </w:r>
          </w:p>
        </w:tc>
        <w:tc>
          <w:tcPr>
            <w:tcW w:w="2399" w:type="dxa"/>
            <w:shd w:val="clear" w:color="auto" w:fill="FFFFFF"/>
            <w:tcMar>
              <w:top w:w="0" w:type="dxa"/>
              <w:left w:w="108" w:type="dxa"/>
              <w:bottom w:w="0" w:type="dxa"/>
              <w:right w:w="108" w:type="dxa"/>
            </w:tcMar>
            <w:vAlign w:val="center"/>
          </w:tcPr>
          <w:p w14:paraId="57FEFFD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775" w:type="dxa"/>
            <w:shd w:val="clear" w:color="auto" w:fill="FFFFFF"/>
            <w:tcMar>
              <w:top w:w="0" w:type="dxa"/>
              <w:left w:w="108" w:type="dxa"/>
              <w:bottom w:w="0" w:type="dxa"/>
              <w:right w:w="108" w:type="dxa"/>
            </w:tcMar>
            <w:vAlign w:val="center"/>
          </w:tcPr>
          <w:p w14:paraId="7F445D5B">
            <w:pPr>
              <w:widowControl/>
              <w:numPr>
                <w:ilvl w:val="0"/>
                <w:numId w:val="3"/>
              </w:numPr>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专职保安人员，工作认真负责并定期接受培训。</w:t>
            </w:r>
          </w:p>
          <w:p w14:paraId="28F7A755">
            <w:pPr>
              <w:widowControl/>
              <w:numPr>
                <w:ilvl w:val="0"/>
                <w:numId w:val="3"/>
              </w:numPr>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能处理和应对小区公共秩序维护工作，能正确使用各类消防、物防、技防器械和设备，能够熟悉、掌握各类刑事、治安案件和各类灾害事故的应急预案。</w:t>
            </w:r>
          </w:p>
          <w:p w14:paraId="5583965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3、上岗时佩带统一标志，穿戴统一制服，仪容仪表规范整齐。</w:t>
            </w:r>
          </w:p>
          <w:p w14:paraId="038AE08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4、配备对讲装置和其他必备的安全护卫器械。</w:t>
            </w:r>
          </w:p>
        </w:tc>
      </w:tr>
      <w:tr w14:paraId="02432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74" w:hRule="atLeast"/>
        </w:trPr>
        <w:tc>
          <w:tcPr>
            <w:tcW w:w="1174" w:type="dxa"/>
            <w:vMerge w:val="continue"/>
            <w:shd w:val="clear" w:color="auto" w:fill="FFFFFF"/>
            <w:vAlign w:val="center"/>
          </w:tcPr>
          <w:p w14:paraId="14BB711A">
            <w:pPr>
              <w:widowControl/>
              <w:snapToGrid w:val="0"/>
              <w:spacing w:line="400" w:lineRule="exact"/>
              <w:ind w:firstLine="307" w:firstLineChars="128"/>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3B6E9B8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5775" w:type="dxa"/>
            <w:shd w:val="clear" w:color="auto" w:fill="FFFFFF"/>
            <w:tcMar>
              <w:top w:w="0" w:type="dxa"/>
              <w:left w:w="108" w:type="dxa"/>
              <w:bottom w:w="0" w:type="dxa"/>
              <w:right w:w="108" w:type="dxa"/>
            </w:tcMar>
            <w:vAlign w:val="center"/>
          </w:tcPr>
          <w:p w14:paraId="267DA20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1、主出入口24小时值班看守，至少2人值守，并有详细交接班记录和外来车辆的登记记录。</w:t>
            </w:r>
          </w:p>
          <w:p w14:paraId="3ADF261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w:t>
            </w:r>
          </w:p>
        </w:tc>
      </w:tr>
      <w:tr w14:paraId="6F721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DCA87FF">
            <w:pPr>
              <w:widowControl/>
              <w:snapToGrid w:val="0"/>
              <w:spacing w:line="400" w:lineRule="exact"/>
              <w:ind w:firstLine="307" w:firstLineChars="128"/>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1FE1BC9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5775" w:type="dxa"/>
            <w:shd w:val="clear" w:color="auto" w:fill="FFFFFF"/>
            <w:tcMar>
              <w:top w:w="0" w:type="dxa"/>
              <w:left w:w="108" w:type="dxa"/>
              <w:bottom w:w="0" w:type="dxa"/>
              <w:right w:w="108" w:type="dxa"/>
            </w:tcMar>
            <w:vAlign w:val="center"/>
          </w:tcPr>
          <w:p w14:paraId="507FC3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1、白天巡逻次数不少于4次，夜间重点部位巡逻2次，并有巡逻记录。</w:t>
            </w:r>
          </w:p>
          <w:p w14:paraId="03B2C66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2、在遇到突发事件时，采取必要措施并及时报告管理处和相关部门。</w:t>
            </w:r>
          </w:p>
        </w:tc>
      </w:tr>
      <w:tr w14:paraId="30860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74" w:type="dxa"/>
            <w:vMerge w:val="continue"/>
            <w:shd w:val="clear" w:color="auto" w:fill="FFFFFF"/>
            <w:vAlign w:val="center"/>
          </w:tcPr>
          <w:p w14:paraId="343E0A4D">
            <w:pPr>
              <w:widowControl/>
              <w:snapToGrid w:val="0"/>
              <w:spacing w:line="400" w:lineRule="exact"/>
              <w:ind w:firstLine="307" w:firstLineChars="128"/>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2D66830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w:t>
            </w:r>
          </w:p>
          <w:p w14:paraId="2DEF03D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救助（监控岗）</w:t>
            </w:r>
          </w:p>
        </w:tc>
        <w:tc>
          <w:tcPr>
            <w:tcW w:w="5775" w:type="dxa"/>
            <w:shd w:val="clear" w:color="auto" w:fill="FFFFFF"/>
            <w:tcMar>
              <w:top w:w="0" w:type="dxa"/>
              <w:left w:w="108" w:type="dxa"/>
              <w:bottom w:w="0" w:type="dxa"/>
              <w:right w:w="108" w:type="dxa"/>
            </w:tcMar>
            <w:vAlign w:val="center"/>
          </w:tcPr>
          <w:p w14:paraId="552CF08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1、小区应具备录像监控、周界报警等技防设施，24小时开通，并有人驻守，注视各设备所传达的信息。</w:t>
            </w:r>
          </w:p>
          <w:p w14:paraId="5D0A7A0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2、监控中心接到报警信号后，保安人员应立即赶到现场进行处理。</w:t>
            </w:r>
          </w:p>
          <w:p w14:paraId="34FF2EE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3、小区应有火警、水警、警情应急预案，并在监控中心控制室内悬挂；每年应组织1次应急预案演习。</w:t>
            </w:r>
          </w:p>
        </w:tc>
      </w:tr>
      <w:tr w14:paraId="40ADC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174" w:type="dxa"/>
            <w:vMerge w:val="continue"/>
            <w:shd w:val="clear" w:color="auto" w:fill="FFFFFF"/>
            <w:vAlign w:val="center"/>
          </w:tcPr>
          <w:p w14:paraId="35BDEF62">
            <w:pPr>
              <w:widowControl/>
              <w:snapToGrid w:val="0"/>
              <w:spacing w:line="400" w:lineRule="exact"/>
              <w:ind w:firstLine="307" w:firstLineChars="128"/>
              <w:rPr>
                <w:rFonts w:ascii="方正仿宋_GBK" w:hAnsi="Times New Roman" w:eastAsia="方正仿宋_GBK"/>
                <w:color w:val="000000"/>
                <w:kern w:val="0"/>
                <w:sz w:val="24"/>
                <w:szCs w:val="24"/>
              </w:rPr>
            </w:pPr>
          </w:p>
        </w:tc>
        <w:tc>
          <w:tcPr>
            <w:tcW w:w="2399" w:type="dxa"/>
            <w:shd w:val="clear" w:color="auto" w:fill="FFFFFF"/>
            <w:tcMar>
              <w:top w:w="0" w:type="dxa"/>
              <w:left w:w="108" w:type="dxa"/>
              <w:bottom w:w="0" w:type="dxa"/>
              <w:right w:w="108" w:type="dxa"/>
            </w:tcMar>
            <w:vAlign w:val="center"/>
          </w:tcPr>
          <w:p w14:paraId="44645D9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5775" w:type="dxa"/>
            <w:shd w:val="clear" w:color="auto" w:fill="FFFFFF"/>
            <w:tcMar>
              <w:top w:w="0" w:type="dxa"/>
              <w:left w:w="108" w:type="dxa"/>
              <w:bottom w:w="0" w:type="dxa"/>
              <w:right w:w="108" w:type="dxa"/>
            </w:tcMar>
            <w:vAlign w:val="center"/>
          </w:tcPr>
          <w:p w14:paraId="4275706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1、地面、墙面按车辆道路行驶要求设立指示牌和地标，车辆行驶有规定路线，车辆停放有序。</w:t>
            </w:r>
          </w:p>
          <w:p w14:paraId="1CDCD6C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2、有专职人员巡视和协助停车事宜。</w:t>
            </w:r>
          </w:p>
          <w:p w14:paraId="5FB3C9F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3、收费管理的车库内地面、墙面按车辆道路行驶要求设立指示牌和地标，照明、消防器械配置齐全。</w:t>
            </w:r>
          </w:p>
        </w:tc>
      </w:tr>
    </w:tbl>
    <w:p w14:paraId="6E93BC1D">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2BE56476">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78D4D71A">
      <w:pPr>
        <w:widowControl/>
        <w:snapToGrid w:val="0"/>
        <w:spacing w:line="560" w:lineRule="exact"/>
        <w:ind w:firstLine="411" w:firstLineChars="128"/>
        <w:jc w:val="center"/>
        <w:rPr>
          <w:rFonts w:ascii="Times New Roman" w:hAnsi="Times New Roman"/>
          <w:b/>
          <w:color w:val="000000"/>
          <w:kern w:val="0"/>
          <w:sz w:val="32"/>
          <w:szCs w:val="32"/>
        </w:rPr>
      </w:pPr>
    </w:p>
    <w:p w14:paraId="4768BE5D">
      <w:pPr>
        <w:widowControl/>
        <w:snapToGrid w:val="0"/>
        <w:spacing w:line="560" w:lineRule="exact"/>
        <w:ind w:firstLine="411" w:firstLineChars="128"/>
        <w:jc w:val="center"/>
        <w:rPr>
          <w:rFonts w:ascii="Times New Roman" w:hAnsi="Times New Roman"/>
          <w:b/>
          <w:color w:val="000000"/>
          <w:kern w:val="0"/>
          <w:sz w:val="32"/>
          <w:szCs w:val="32"/>
        </w:rPr>
      </w:pPr>
    </w:p>
    <w:p w14:paraId="286149D1">
      <w:pPr>
        <w:widowControl/>
        <w:snapToGrid w:val="0"/>
        <w:spacing w:line="560" w:lineRule="exact"/>
        <w:ind w:firstLine="411" w:firstLineChars="128"/>
        <w:jc w:val="center"/>
        <w:rPr>
          <w:rFonts w:ascii="Times New Roman" w:hAnsi="Times New Roman"/>
          <w:b/>
          <w:color w:val="000000"/>
          <w:kern w:val="0"/>
          <w:sz w:val="32"/>
          <w:szCs w:val="32"/>
        </w:rPr>
      </w:pPr>
    </w:p>
    <w:p w14:paraId="1ED9ED7F">
      <w:pPr>
        <w:widowControl/>
        <w:snapToGrid w:val="0"/>
        <w:spacing w:line="560" w:lineRule="exact"/>
        <w:ind w:firstLine="411" w:firstLineChars="128"/>
        <w:jc w:val="center"/>
        <w:rPr>
          <w:rFonts w:ascii="Times New Roman" w:hAnsi="Times New Roman"/>
          <w:b/>
          <w:color w:val="000000"/>
          <w:kern w:val="0"/>
          <w:sz w:val="32"/>
          <w:szCs w:val="32"/>
        </w:rPr>
      </w:pPr>
    </w:p>
    <w:p w14:paraId="1D841304">
      <w:pPr>
        <w:widowControl/>
        <w:snapToGrid w:val="0"/>
        <w:spacing w:line="560" w:lineRule="exact"/>
        <w:ind w:firstLine="411" w:firstLineChars="128"/>
        <w:jc w:val="center"/>
        <w:rPr>
          <w:rFonts w:ascii="Times New Roman" w:hAnsi="Times New Roman"/>
          <w:b/>
          <w:color w:val="000000"/>
          <w:kern w:val="0"/>
          <w:sz w:val="32"/>
          <w:szCs w:val="32"/>
        </w:rPr>
      </w:pPr>
    </w:p>
    <w:p w14:paraId="19C9F2CA">
      <w:pPr>
        <w:widowControl/>
        <w:snapToGrid w:val="0"/>
        <w:spacing w:line="560" w:lineRule="exact"/>
        <w:ind w:firstLine="411" w:firstLineChars="128"/>
        <w:jc w:val="center"/>
        <w:rPr>
          <w:rFonts w:ascii="Times New Roman" w:hAnsi="Times New Roman"/>
          <w:b/>
          <w:color w:val="000000"/>
          <w:kern w:val="0"/>
          <w:sz w:val="32"/>
          <w:szCs w:val="32"/>
        </w:rPr>
      </w:pPr>
    </w:p>
    <w:p w14:paraId="3FF9A4ED">
      <w:pPr>
        <w:widowControl/>
        <w:snapToGrid w:val="0"/>
        <w:spacing w:line="560" w:lineRule="exact"/>
        <w:ind w:firstLine="411" w:firstLineChars="128"/>
        <w:jc w:val="center"/>
        <w:rPr>
          <w:rFonts w:ascii="Times New Roman" w:hAnsi="Times New Roman"/>
          <w:b/>
          <w:color w:val="000000"/>
          <w:kern w:val="0"/>
          <w:sz w:val="32"/>
          <w:szCs w:val="32"/>
        </w:rPr>
      </w:pPr>
    </w:p>
    <w:p w14:paraId="7AD1B7B4">
      <w:pPr>
        <w:widowControl/>
        <w:snapToGrid w:val="0"/>
        <w:spacing w:line="560" w:lineRule="exact"/>
        <w:ind w:firstLine="411" w:firstLineChars="128"/>
        <w:jc w:val="center"/>
        <w:rPr>
          <w:rFonts w:ascii="Times New Roman" w:hAnsi="Times New Roman"/>
          <w:b/>
          <w:color w:val="000000"/>
          <w:kern w:val="0"/>
          <w:sz w:val="32"/>
          <w:szCs w:val="32"/>
        </w:rPr>
      </w:pPr>
    </w:p>
    <w:p w14:paraId="78A6443F">
      <w:pPr>
        <w:widowControl/>
        <w:snapToGrid w:val="0"/>
        <w:spacing w:line="560" w:lineRule="exact"/>
        <w:ind w:firstLine="411" w:firstLineChars="128"/>
        <w:jc w:val="center"/>
        <w:rPr>
          <w:rFonts w:ascii="Times New Roman" w:hAnsi="Times New Roman"/>
          <w:b/>
          <w:color w:val="000000"/>
          <w:kern w:val="0"/>
          <w:sz w:val="32"/>
          <w:szCs w:val="32"/>
        </w:rPr>
      </w:pPr>
    </w:p>
    <w:p w14:paraId="37F3AF01">
      <w:pPr>
        <w:widowControl/>
        <w:snapToGrid w:val="0"/>
        <w:spacing w:line="560" w:lineRule="exact"/>
        <w:ind w:firstLine="411" w:firstLineChars="128"/>
        <w:jc w:val="center"/>
        <w:rPr>
          <w:rFonts w:ascii="Times New Roman" w:hAnsi="Times New Roman"/>
          <w:b/>
          <w:color w:val="000000"/>
          <w:kern w:val="0"/>
          <w:sz w:val="32"/>
          <w:szCs w:val="32"/>
        </w:rPr>
      </w:pPr>
    </w:p>
    <w:p w14:paraId="1F92FEA7">
      <w:pPr>
        <w:widowControl/>
        <w:snapToGrid w:val="0"/>
        <w:spacing w:line="560" w:lineRule="exact"/>
        <w:ind w:firstLine="411" w:firstLineChars="128"/>
        <w:jc w:val="center"/>
        <w:rPr>
          <w:rFonts w:ascii="Times New Roman" w:hAnsi="Times New Roman"/>
          <w:b/>
          <w:color w:val="000000"/>
          <w:kern w:val="0"/>
          <w:sz w:val="32"/>
          <w:szCs w:val="32"/>
        </w:rPr>
      </w:pPr>
    </w:p>
    <w:p w14:paraId="067074D7">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宜兴市普通住宅物业服务等级五级服务标准</w:t>
      </w:r>
    </w:p>
    <w:p w14:paraId="25501851">
      <w:pPr>
        <w:widowControl/>
        <w:snapToGrid w:val="0"/>
        <w:spacing w:line="480" w:lineRule="exact"/>
        <w:ind w:firstLine="307" w:firstLineChars="128"/>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(指导价1.70元/㎡·月，不含电梯运行维护费、公共能耗费)</w:t>
      </w:r>
    </w:p>
    <w:p w14:paraId="72C84186">
      <w:pPr>
        <w:widowControl/>
        <w:snapToGrid w:val="0"/>
        <w:spacing w:line="480" w:lineRule="exact"/>
        <w:ind w:firstLine="307" w:firstLineChars="128"/>
        <w:jc w:val="center"/>
        <w:rPr>
          <w:rFonts w:ascii="方正仿宋_GBK" w:hAnsi="Times New Roman" w:eastAsia="方正仿宋_GBK"/>
          <w:color w:val="000000"/>
          <w:kern w:val="0"/>
          <w:sz w:val="24"/>
          <w:szCs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83"/>
        <w:gridCol w:w="2200"/>
        <w:gridCol w:w="5677"/>
      </w:tblGrid>
      <w:tr w14:paraId="1D5F1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183" w:type="dxa"/>
            <w:shd w:val="clear" w:color="auto" w:fill="FFFFFF"/>
            <w:tcMar>
              <w:top w:w="0" w:type="dxa"/>
              <w:left w:w="108" w:type="dxa"/>
              <w:bottom w:w="0" w:type="dxa"/>
              <w:right w:w="108" w:type="dxa"/>
            </w:tcMar>
            <w:vAlign w:val="center"/>
          </w:tcPr>
          <w:p w14:paraId="1E926D2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200" w:type="dxa"/>
            <w:shd w:val="clear" w:color="auto" w:fill="FFFFFF"/>
            <w:tcMar>
              <w:top w:w="0" w:type="dxa"/>
              <w:left w:w="108" w:type="dxa"/>
              <w:bottom w:w="0" w:type="dxa"/>
              <w:right w:w="108" w:type="dxa"/>
            </w:tcMar>
            <w:vAlign w:val="center"/>
          </w:tcPr>
          <w:p w14:paraId="0C86257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5677" w:type="dxa"/>
            <w:shd w:val="clear" w:color="auto" w:fill="FFFFFF"/>
            <w:tcMar>
              <w:top w:w="0" w:type="dxa"/>
              <w:left w:w="108" w:type="dxa"/>
              <w:bottom w:w="0" w:type="dxa"/>
              <w:right w:w="108" w:type="dxa"/>
            </w:tcMar>
            <w:vAlign w:val="center"/>
          </w:tcPr>
          <w:p w14:paraId="1FF0634A">
            <w:pPr>
              <w:widowControl/>
              <w:snapToGrid w:val="0"/>
              <w:spacing w:line="400" w:lineRule="exact"/>
              <w:ind w:firstLine="48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6D7C1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restart"/>
            <w:shd w:val="clear" w:color="auto" w:fill="FFFFFF"/>
            <w:tcMar>
              <w:top w:w="0" w:type="dxa"/>
              <w:left w:w="108" w:type="dxa"/>
              <w:bottom w:w="0" w:type="dxa"/>
              <w:right w:w="108" w:type="dxa"/>
            </w:tcMar>
            <w:vAlign w:val="center"/>
          </w:tcPr>
          <w:p w14:paraId="153CB55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44D774B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200" w:type="dxa"/>
            <w:shd w:val="clear" w:color="auto" w:fill="FFFFFF"/>
            <w:tcMar>
              <w:top w:w="0" w:type="dxa"/>
              <w:left w:w="108" w:type="dxa"/>
              <w:bottom w:w="0" w:type="dxa"/>
              <w:right w:w="108" w:type="dxa"/>
            </w:tcMar>
            <w:vAlign w:val="center"/>
          </w:tcPr>
          <w:p w14:paraId="02BD104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5677" w:type="dxa"/>
            <w:shd w:val="clear" w:color="auto" w:fill="FFFFFF"/>
            <w:tcMar>
              <w:top w:w="0" w:type="dxa"/>
              <w:left w:w="108" w:type="dxa"/>
              <w:bottom w:w="0" w:type="dxa"/>
              <w:right w:w="108" w:type="dxa"/>
            </w:tcMar>
            <w:vAlign w:val="center"/>
          </w:tcPr>
          <w:p w14:paraId="427B611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106200A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2、配置办公家具、电话、电脑、打印机等办公设施及办公用品。</w:t>
            </w:r>
          </w:p>
        </w:tc>
      </w:tr>
      <w:tr w14:paraId="51DFE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4C4C47B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50971E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677" w:type="dxa"/>
            <w:shd w:val="clear" w:color="auto" w:fill="FFFFFF"/>
            <w:tcMar>
              <w:top w:w="0" w:type="dxa"/>
              <w:left w:w="108" w:type="dxa"/>
              <w:bottom w:w="0" w:type="dxa"/>
              <w:right w:w="108" w:type="dxa"/>
            </w:tcMar>
            <w:vAlign w:val="center"/>
          </w:tcPr>
          <w:p w14:paraId="2EE3748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1、小区经理有物业管理员上岗证和项目经理</w:t>
            </w:r>
          </w:p>
          <w:p w14:paraId="356D430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上岗证，有三年以上物业管理工作经验。</w:t>
            </w:r>
          </w:p>
          <w:p w14:paraId="63C3A88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2、管理人员服装统一，挂牌上岗，仪表整洁规范。</w:t>
            </w:r>
          </w:p>
        </w:tc>
      </w:tr>
      <w:tr w14:paraId="6A74C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1E7EC5B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6A868E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5677" w:type="dxa"/>
            <w:shd w:val="clear" w:color="auto" w:fill="FFFFFF"/>
            <w:tcMar>
              <w:top w:w="0" w:type="dxa"/>
              <w:left w:w="108" w:type="dxa"/>
              <w:bottom w:w="0" w:type="dxa"/>
              <w:right w:w="108" w:type="dxa"/>
            </w:tcMar>
            <w:vAlign w:val="center"/>
          </w:tcPr>
          <w:p w14:paraId="3D7A726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管理处周一至周五每天10小时业务接待，周六周日提供值班服务。</w:t>
            </w:r>
          </w:p>
        </w:tc>
      </w:tr>
      <w:tr w14:paraId="01A26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4C05CA3C">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B2DB57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5677" w:type="dxa"/>
            <w:shd w:val="clear" w:color="auto" w:fill="FFFFFF"/>
            <w:tcMar>
              <w:top w:w="0" w:type="dxa"/>
              <w:left w:w="108" w:type="dxa"/>
              <w:bottom w:w="0" w:type="dxa"/>
              <w:right w:w="108" w:type="dxa"/>
            </w:tcMar>
          </w:tcPr>
          <w:p w14:paraId="2F5A4E2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1、24小时受理业主或使用人报修。急修半小时内到现场处理，一般修理1天内完成（预约除外）。</w:t>
            </w:r>
          </w:p>
          <w:p w14:paraId="7C6D409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2、对业主或使用人的投诉在3天内答复处理。</w:t>
            </w:r>
          </w:p>
          <w:p w14:paraId="07E550D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3、公示服务标准和收费标准，每半年向业主公布财务状况1次，公共水电费能耗分摊每季向业主公布1次。</w:t>
            </w:r>
          </w:p>
          <w:p w14:paraId="54781C1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4、制定小区物业服务年度计划并组织实施，每半年向委托方报告1次计划实施情况。</w:t>
            </w:r>
          </w:p>
          <w:p w14:paraId="1DA242B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5、制定小区房屋装修申请、审批、巡视、验收等装修管理制度，建立业主或使用人房屋装修档案，对不符合规定的行为、现象及时劝阻、制止或报告。</w:t>
            </w:r>
          </w:p>
          <w:p w14:paraId="7EADE64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6、可采取走访、恳谈会、问卷调查、通讯等多种形式与业主或使用人进行沟通，每年的沟通面不低于小区住户的30%。</w:t>
            </w:r>
          </w:p>
          <w:p w14:paraId="5097F8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7、建立业主档案、收费管理、设备管理等记录。</w:t>
            </w:r>
          </w:p>
          <w:p w14:paraId="13EA02B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8、能提供两种以上特约服务（有偿）和一种以上便民（无偿）服务；每年组织1次以上的社区活动。</w:t>
            </w:r>
          </w:p>
        </w:tc>
      </w:tr>
      <w:tr w14:paraId="70EF4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restart"/>
            <w:shd w:val="clear" w:color="auto" w:fill="FFFFFF"/>
            <w:tcMar>
              <w:top w:w="0" w:type="dxa"/>
              <w:left w:w="108" w:type="dxa"/>
              <w:bottom w:w="0" w:type="dxa"/>
              <w:right w:w="108" w:type="dxa"/>
            </w:tcMar>
            <w:vAlign w:val="center"/>
          </w:tcPr>
          <w:p w14:paraId="5387FF3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47729C3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200" w:type="dxa"/>
            <w:shd w:val="clear" w:color="auto" w:fill="FFFFFF"/>
            <w:tcMar>
              <w:top w:w="0" w:type="dxa"/>
              <w:left w:w="108" w:type="dxa"/>
              <w:bottom w:w="0" w:type="dxa"/>
              <w:right w:w="108" w:type="dxa"/>
            </w:tcMar>
            <w:vAlign w:val="center"/>
          </w:tcPr>
          <w:p w14:paraId="02EDBB0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5677" w:type="dxa"/>
            <w:shd w:val="clear" w:color="auto" w:fill="FFFFFF"/>
            <w:tcMar>
              <w:top w:w="0" w:type="dxa"/>
              <w:left w:w="108" w:type="dxa"/>
              <w:bottom w:w="0" w:type="dxa"/>
              <w:right w:w="108" w:type="dxa"/>
            </w:tcMar>
            <w:vAlign w:val="center"/>
          </w:tcPr>
          <w:p w14:paraId="6E994A9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每日打扫1次各楼层通道和楼梯台阶、擦拭1次楼梯扶手；地面每月湿拖1次，大理石地面每年打蜡1次；公共设施每月循环清洁1次；各梯间墙面、顶面每月除尘1次。</w:t>
            </w:r>
          </w:p>
        </w:tc>
      </w:tr>
      <w:tr w14:paraId="5F95E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2EFBF22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187675F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电梯及电梯厅</w:t>
            </w:r>
          </w:p>
          <w:p w14:paraId="68EF41A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保洁</w:t>
            </w:r>
          </w:p>
        </w:tc>
        <w:tc>
          <w:tcPr>
            <w:tcW w:w="5677" w:type="dxa"/>
            <w:shd w:val="clear" w:color="auto" w:fill="FFFFFF"/>
            <w:tcMar>
              <w:top w:w="0" w:type="dxa"/>
              <w:left w:w="108" w:type="dxa"/>
              <w:bottom w:w="0" w:type="dxa"/>
              <w:right w:w="108" w:type="dxa"/>
            </w:tcMar>
            <w:vAlign w:val="center"/>
          </w:tcPr>
          <w:p w14:paraId="3F68B42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电梯轿厢每日清洁1次，每季度对电梯门壁打蜡上光1次。</w:t>
            </w:r>
          </w:p>
        </w:tc>
      </w:tr>
      <w:tr w14:paraId="0E25E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1673023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4870004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5677" w:type="dxa"/>
            <w:shd w:val="clear" w:color="auto" w:fill="FFFFFF"/>
            <w:tcMar>
              <w:top w:w="0" w:type="dxa"/>
              <w:left w:w="108" w:type="dxa"/>
              <w:bottom w:w="0" w:type="dxa"/>
              <w:right w:w="108" w:type="dxa"/>
            </w:tcMar>
            <w:vAlign w:val="center"/>
          </w:tcPr>
          <w:p w14:paraId="53E0494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每日清洁2次、消杀1次，发现墙壁有污渍及时清洁。</w:t>
            </w:r>
          </w:p>
        </w:tc>
      </w:tr>
      <w:tr w14:paraId="268E2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149745A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40A127A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停车场、公用车库或车棚保洁</w:t>
            </w:r>
          </w:p>
        </w:tc>
        <w:tc>
          <w:tcPr>
            <w:tcW w:w="5677" w:type="dxa"/>
            <w:shd w:val="clear" w:color="auto" w:fill="FFFFFF"/>
            <w:tcMar>
              <w:top w:w="0" w:type="dxa"/>
              <w:left w:w="108" w:type="dxa"/>
              <w:bottom w:w="0" w:type="dxa"/>
              <w:right w:w="108" w:type="dxa"/>
            </w:tcMar>
            <w:vAlign w:val="center"/>
          </w:tcPr>
          <w:p w14:paraId="3FAA7D2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每周清扫1次，每季进行一次地下室消杀工作。</w:t>
            </w:r>
          </w:p>
        </w:tc>
      </w:tr>
      <w:tr w14:paraId="48A32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5E0AA24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762485B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5677" w:type="dxa"/>
            <w:shd w:val="clear" w:color="auto" w:fill="FFFFFF"/>
            <w:tcMar>
              <w:top w:w="0" w:type="dxa"/>
              <w:left w:w="108" w:type="dxa"/>
              <w:bottom w:w="0" w:type="dxa"/>
              <w:right w:w="108" w:type="dxa"/>
            </w:tcMar>
            <w:vAlign w:val="center"/>
          </w:tcPr>
          <w:p w14:paraId="68A8CC9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每日清扫1次，白天巡视保洁，确保路面整洁。</w:t>
            </w:r>
          </w:p>
        </w:tc>
      </w:tr>
      <w:tr w14:paraId="7B4CE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57652C3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663A3DE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标识、宣传牌、信报箱保洁</w:t>
            </w:r>
          </w:p>
        </w:tc>
        <w:tc>
          <w:tcPr>
            <w:tcW w:w="5677" w:type="dxa"/>
            <w:shd w:val="clear" w:color="auto" w:fill="FFFFFF"/>
            <w:tcMar>
              <w:top w:w="0" w:type="dxa"/>
              <w:left w:w="108" w:type="dxa"/>
              <w:bottom w:w="0" w:type="dxa"/>
              <w:right w:w="108" w:type="dxa"/>
            </w:tcMar>
            <w:vAlign w:val="center"/>
          </w:tcPr>
          <w:p w14:paraId="532DB0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标识、宣传牌每周擦拭2次，雕塑、信报箱每月擦拭1次。</w:t>
            </w:r>
          </w:p>
        </w:tc>
      </w:tr>
      <w:tr w14:paraId="14C01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258A5A1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A20679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休闲、娱乐、</w:t>
            </w:r>
          </w:p>
          <w:p w14:paraId="55B0E1F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健身设施</w:t>
            </w:r>
          </w:p>
        </w:tc>
        <w:tc>
          <w:tcPr>
            <w:tcW w:w="5677" w:type="dxa"/>
            <w:shd w:val="clear" w:color="auto" w:fill="FFFFFF"/>
            <w:tcMar>
              <w:top w:w="0" w:type="dxa"/>
              <w:left w:w="108" w:type="dxa"/>
              <w:bottom w:w="0" w:type="dxa"/>
              <w:right w:w="108" w:type="dxa"/>
            </w:tcMar>
            <w:vAlign w:val="center"/>
          </w:tcPr>
          <w:p w14:paraId="61B5535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w:t>
            </w:r>
          </w:p>
        </w:tc>
      </w:tr>
      <w:tr w14:paraId="0E5C4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6C6A25A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68A79F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w:t>
            </w:r>
          </w:p>
          <w:p w14:paraId="76C525C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监控探头保洁</w:t>
            </w:r>
          </w:p>
        </w:tc>
        <w:tc>
          <w:tcPr>
            <w:tcW w:w="5677" w:type="dxa"/>
            <w:shd w:val="clear" w:color="auto" w:fill="FFFFFF"/>
            <w:tcMar>
              <w:top w:w="0" w:type="dxa"/>
              <w:left w:w="108" w:type="dxa"/>
              <w:bottom w:w="0" w:type="dxa"/>
              <w:right w:w="108" w:type="dxa"/>
            </w:tcMar>
            <w:vAlign w:val="center"/>
          </w:tcPr>
          <w:p w14:paraId="651E2AD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门卫、岗亭每日清洁2次，监控探头每2个月擦拭1次。</w:t>
            </w:r>
          </w:p>
        </w:tc>
      </w:tr>
      <w:tr w14:paraId="771FF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0EE6862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A3E025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5677" w:type="dxa"/>
            <w:shd w:val="clear" w:color="auto" w:fill="FFFFFF"/>
            <w:tcMar>
              <w:top w:w="0" w:type="dxa"/>
              <w:left w:w="108" w:type="dxa"/>
              <w:bottom w:w="0" w:type="dxa"/>
              <w:right w:w="108" w:type="dxa"/>
            </w:tcMar>
            <w:vAlign w:val="center"/>
          </w:tcPr>
          <w:p w14:paraId="16C6BDA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每日收集2次，每周擦拭1次。</w:t>
            </w:r>
          </w:p>
        </w:tc>
      </w:tr>
      <w:tr w14:paraId="5DF05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61DA3D5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483E6F3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5677" w:type="dxa"/>
            <w:shd w:val="clear" w:color="auto" w:fill="FFFFFF"/>
            <w:tcMar>
              <w:top w:w="0" w:type="dxa"/>
              <w:left w:w="108" w:type="dxa"/>
              <w:bottom w:w="0" w:type="dxa"/>
              <w:right w:w="108" w:type="dxa"/>
            </w:tcMar>
            <w:vAlign w:val="center"/>
          </w:tcPr>
          <w:p w14:paraId="6924A73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按每楼幢定点设置垃圾收集箱或点，每日定时清理1次；垃圾收集箱或点周围地面无散落垃圾、无污迹、无异味，每周清洗1次。</w:t>
            </w:r>
          </w:p>
        </w:tc>
      </w:tr>
      <w:tr w14:paraId="0340A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3475850C">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6090E6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5677" w:type="dxa"/>
            <w:shd w:val="clear" w:color="auto" w:fill="FFFFFF"/>
            <w:tcMar>
              <w:top w:w="0" w:type="dxa"/>
              <w:left w:w="108" w:type="dxa"/>
              <w:bottom w:w="0" w:type="dxa"/>
              <w:right w:w="108" w:type="dxa"/>
            </w:tcMar>
            <w:vAlign w:val="center"/>
          </w:tcPr>
          <w:p w14:paraId="07D8EFB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灭鼠、灭蚊等每2个月至少进行1次，夏季每月消杀1次。</w:t>
            </w:r>
          </w:p>
        </w:tc>
      </w:tr>
      <w:tr w14:paraId="02B29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257EC57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79AF718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5677" w:type="dxa"/>
            <w:shd w:val="clear" w:color="auto" w:fill="FFFFFF"/>
            <w:tcMar>
              <w:top w:w="0" w:type="dxa"/>
              <w:left w:w="108" w:type="dxa"/>
              <w:bottom w:w="0" w:type="dxa"/>
              <w:right w:w="108" w:type="dxa"/>
            </w:tcMar>
            <w:vAlign w:val="center"/>
          </w:tcPr>
          <w:p w14:paraId="07850A6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每月清理1次，保持清洁、无垃圾。</w:t>
            </w:r>
          </w:p>
        </w:tc>
      </w:tr>
      <w:tr w14:paraId="07FA2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9" w:hRule="atLeast"/>
        </w:trPr>
        <w:tc>
          <w:tcPr>
            <w:tcW w:w="1183" w:type="dxa"/>
            <w:vMerge w:val="restart"/>
            <w:shd w:val="clear" w:color="auto" w:fill="FFFFFF"/>
            <w:tcMar>
              <w:top w:w="0" w:type="dxa"/>
              <w:left w:w="108" w:type="dxa"/>
              <w:bottom w:w="0" w:type="dxa"/>
              <w:right w:w="108" w:type="dxa"/>
            </w:tcMar>
            <w:vAlign w:val="center"/>
          </w:tcPr>
          <w:p w14:paraId="2681284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200" w:type="dxa"/>
            <w:shd w:val="clear" w:color="auto" w:fill="FFFFFF"/>
            <w:tcMar>
              <w:top w:w="0" w:type="dxa"/>
              <w:left w:w="108" w:type="dxa"/>
              <w:bottom w:w="0" w:type="dxa"/>
              <w:right w:w="108" w:type="dxa"/>
            </w:tcMar>
            <w:vAlign w:val="center"/>
          </w:tcPr>
          <w:p w14:paraId="027F6DF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公共部位门窗</w:t>
            </w:r>
          </w:p>
        </w:tc>
        <w:tc>
          <w:tcPr>
            <w:tcW w:w="5677" w:type="dxa"/>
            <w:shd w:val="clear" w:color="auto" w:fill="FFFFFF"/>
            <w:tcMar>
              <w:top w:w="0" w:type="dxa"/>
              <w:left w:w="108" w:type="dxa"/>
              <w:bottom w:w="0" w:type="dxa"/>
              <w:right w:w="108" w:type="dxa"/>
            </w:tcMar>
            <w:vAlign w:val="center"/>
          </w:tcPr>
          <w:p w14:paraId="7B43D2C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每周巡视楼内公共部位门窗，保持玻璃、门窗配件完好，门、窗开闭灵活并无异常声响。</w:t>
            </w:r>
          </w:p>
        </w:tc>
      </w:tr>
      <w:tr w14:paraId="4F890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3CC7E48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46E8DB6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5677" w:type="dxa"/>
            <w:shd w:val="clear" w:color="auto" w:fill="FFFFFF"/>
            <w:tcMar>
              <w:top w:w="0" w:type="dxa"/>
              <w:left w:w="108" w:type="dxa"/>
              <w:bottom w:w="0" w:type="dxa"/>
              <w:right w:w="108" w:type="dxa"/>
            </w:tcMar>
            <w:vAlign w:val="center"/>
          </w:tcPr>
          <w:p w14:paraId="06A9120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每月1次巡查围墙，发现损坏立即修复，铁栅栏围墙表面无锈蚀，保持围墙完好。</w:t>
            </w:r>
          </w:p>
        </w:tc>
      </w:tr>
      <w:tr w14:paraId="5EF00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042212A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693DD81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5677" w:type="dxa"/>
            <w:shd w:val="clear" w:color="auto" w:fill="FFFFFF"/>
            <w:tcMar>
              <w:top w:w="0" w:type="dxa"/>
              <w:left w:w="108" w:type="dxa"/>
              <w:bottom w:w="0" w:type="dxa"/>
              <w:right w:w="108" w:type="dxa"/>
            </w:tcMar>
            <w:vAlign w:val="center"/>
          </w:tcPr>
          <w:p w14:paraId="31BD702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每月1次巡查道路、路面、侧石、井盖等，发现损坏及时修复，保持路面平整、无破损、无积水，侧石平直无缺损。</w:t>
            </w:r>
          </w:p>
        </w:tc>
      </w:tr>
      <w:tr w14:paraId="3DBD28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6969B13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6437024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5677" w:type="dxa"/>
            <w:shd w:val="clear" w:color="auto" w:fill="FFFFFF"/>
            <w:tcMar>
              <w:top w:w="0" w:type="dxa"/>
              <w:left w:w="108" w:type="dxa"/>
              <w:bottom w:w="0" w:type="dxa"/>
              <w:right w:w="108" w:type="dxa"/>
            </w:tcMar>
          </w:tcPr>
          <w:p w14:paraId="12F2AF8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每月清扫1次排水明沟，每季对地下管井清理1次，每年对地下管井彻底疏通1次。发现堵塞，及时疏通。</w:t>
            </w:r>
          </w:p>
        </w:tc>
      </w:tr>
      <w:tr w14:paraId="69841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0CC5D71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07727E3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5677" w:type="dxa"/>
            <w:shd w:val="clear" w:color="auto" w:fill="FFFFFF"/>
            <w:tcMar>
              <w:top w:w="0" w:type="dxa"/>
              <w:left w:w="108" w:type="dxa"/>
              <w:bottom w:w="0" w:type="dxa"/>
              <w:right w:w="108" w:type="dxa"/>
            </w:tcMar>
            <w:vAlign w:val="center"/>
          </w:tcPr>
          <w:p w14:paraId="363A902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饮用水水池(箱)每半年清洗消毒1次，水质化验达标，每季清扫1次泵房，每年对水泵机组清洗保养1次，每半年对共用给水管道进行1次全面检查维修。</w:t>
            </w:r>
          </w:p>
        </w:tc>
      </w:tr>
      <w:tr w14:paraId="4CB7E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17DCE08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7546E2B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公共部位照明灯、景观灯、节日彩灯、大堂吊灯等</w:t>
            </w:r>
          </w:p>
        </w:tc>
        <w:tc>
          <w:tcPr>
            <w:tcW w:w="5677" w:type="dxa"/>
            <w:shd w:val="clear" w:color="auto" w:fill="FFFFFF"/>
            <w:tcMar>
              <w:top w:w="0" w:type="dxa"/>
              <w:left w:w="108" w:type="dxa"/>
              <w:bottom w:w="0" w:type="dxa"/>
              <w:right w:w="108" w:type="dxa"/>
            </w:tcMar>
            <w:vAlign w:val="center"/>
          </w:tcPr>
          <w:p w14:paraId="4EB7275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保持灯具完好，亮灯率在95%以上。</w:t>
            </w:r>
          </w:p>
        </w:tc>
      </w:tr>
      <w:tr w14:paraId="25909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2128252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7723522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5677" w:type="dxa"/>
            <w:shd w:val="clear" w:color="auto" w:fill="FFFFFF"/>
            <w:tcMar>
              <w:top w:w="0" w:type="dxa"/>
              <w:left w:w="108" w:type="dxa"/>
              <w:bottom w:w="0" w:type="dxa"/>
              <w:right w:w="108" w:type="dxa"/>
            </w:tcMar>
            <w:vAlign w:val="center"/>
          </w:tcPr>
          <w:p w14:paraId="67928E5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1、消防泵每季启动1次并作记录，每年保养1次，保证其运行正常。</w:t>
            </w:r>
          </w:p>
          <w:p w14:paraId="750C181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2、消防栓每月巡查1次，消防栓箱内各种配件完好。</w:t>
            </w:r>
          </w:p>
          <w:p w14:paraId="3F41A36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3、每周检查火警功能、报警功能是否正常。</w:t>
            </w:r>
          </w:p>
          <w:p w14:paraId="0F47717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4、每年试验1次探测器，并对全部控制装置进行1次试验，不合格的应当调换。</w:t>
            </w:r>
          </w:p>
          <w:p w14:paraId="3F30070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5、每半年检查1次消防水带、阀杆处加注润滑油并作1次放水检查。</w:t>
            </w:r>
          </w:p>
          <w:p w14:paraId="773D929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6、每月检查1次灭火器，临近失效立即更新或充压。</w:t>
            </w:r>
          </w:p>
        </w:tc>
      </w:tr>
      <w:tr w14:paraId="28B42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7E525A5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EA8B38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5677" w:type="dxa"/>
            <w:shd w:val="clear" w:color="auto" w:fill="FFFFFF"/>
            <w:tcMar>
              <w:top w:w="0" w:type="dxa"/>
              <w:left w:w="108" w:type="dxa"/>
              <w:bottom w:w="0" w:type="dxa"/>
              <w:right w:w="108" w:type="dxa"/>
            </w:tcMar>
            <w:vAlign w:val="center"/>
          </w:tcPr>
          <w:p w14:paraId="2C7B126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每周巡查1次小区房屋单元门、楼道、管线井道、机房以及其它共用设施设备,并及时维修养护，保证正常运行；小区主要道路及停车场交通标志齐全。</w:t>
            </w:r>
          </w:p>
        </w:tc>
      </w:tr>
      <w:tr w14:paraId="285C6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7" w:hRule="atLeast"/>
        </w:trPr>
        <w:tc>
          <w:tcPr>
            <w:tcW w:w="1183" w:type="dxa"/>
            <w:vMerge w:val="restart"/>
            <w:shd w:val="clear" w:color="auto" w:fill="FFFFFF"/>
            <w:tcMar>
              <w:top w:w="0" w:type="dxa"/>
              <w:left w:w="108" w:type="dxa"/>
              <w:bottom w:w="0" w:type="dxa"/>
              <w:right w:w="108" w:type="dxa"/>
            </w:tcMar>
            <w:vAlign w:val="center"/>
          </w:tcPr>
          <w:p w14:paraId="1ADE4AF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园林绿化</w:t>
            </w:r>
          </w:p>
          <w:p w14:paraId="6ABC2D3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养护与管理</w:t>
            </w:r>
          </w:p>
        </w:tc>
        <w:tc>
          <w:tcPr>
            <w:tcW w:w="2200" w:type="dxa"/>
            <w:shd w:val="clear" w:color="auto" w:fill="FFFFFF"/>
            <w:tcMar>
              <w:top w:w="0" w:type="dxa"/>
              <w:left w:w="108" w:type="dxa"/>
              <w:bottom w:w="0" w:type="dxa"/>
              <w:right w:w="108" w:type="dxa"/>
            </w:tcMar>
            <w:vAlign w:val="center"/>
          </w:tcPr>
          <w:p w14:paraId="4668F46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5677" w:type="dxa"/>
            <w:shd w:val="clear" w:color="auto" w:fill="FFFFFF"/>
            <w:tcMar>
              <w:top w:w="0" w:type="dxa"/>
              <w:left w:w="108" w:type="dxa"/>
              <w:bottom w:w="0" w:type="dxa"/>
              <w:right w:w="108" w:type="dxa"/>
            </w:tcMar>
            <w:vAlign w:val="center"/>
          </w:tcPr>
          <w:p w14:paraId="06CD470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乔、灌、地被、草配植科学，层次丰富、季相分明。乔灌木生长健壮，树冠完整，形态优美；花灌木按时开花结果；球、篱、地被生长茂盛，无缺枝、空挡。</w:t>
            </w:r>
          </w:p>
        </w:tc>
      </w:tr>
      <w:tr w14:paraId="28378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5BC66F9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7F28BA0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5677" w:type="dxa"/>
            <w:shd w:val="clear" w:color="auto" w:fill="FFFFFF"/>
            <w:tcMar>
              <w:top w:w="0" w:type="dxa"/>
              <w:left w:w="108" w:type="dxa"/>
              <w:bottom w:w="0" w:type="dxa"/>
              <w:right w:w="108" w:type="dxa"/>
            </w:tcMar>
            <w:vAlign w:val="center"/>
          </w:tcPr>
          <w:p w14:paraId="3B0481D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成活率90%以上，每年修剪3次，除虫施肥每年</w:t>
            </w:r>
          </w:p>
          <w:p w14:paraId="24024BA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1次。</w:t>
            </w:r>
          </w:p>
        </w:tc>
      </w:tr>
      <w:tr w14:paraId="7B509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40092411">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2DBCBE2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5677" w:type="dxa"/>
            <w:shd w:val="clear" w:color="auto" w:fill="FFFFFF"/>
            <w:tcMar>
              <w:top w:w="0" w:type="dxa"/>
              <w:left w:w="108" w:type="dxa"/>
              <w:bottom w:w="0" w:type="dxa"/>
              <w:right w:w="108" w:type="dxa"/>
            </w:tcMar>
            <w:vAlign w:val="center"/>
          </w:tcPr>
          <w:p w14:paraId="7CCCD9A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成活率90%以上，每年修剪2次，除虫施肥每年</w:t>
            </w:r>
          </w:p>
          <w:p w14:paraId="66FBDF0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1次。</w:t>
            </w:r>
          </w:p>
        </w:tc>
      </w:tr>
      <w:tr w14:paraId="4C8E8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14CF0196">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3433BD3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5677" w:type="dxa"/>
            <w:shd w:val="clear" w:color="auto" w:fill="FFFFFF"/>
            <w:tcMar>
              <w:top w:w="0" w:type="dxa"/>
              <w:left w:w="108" w:type="dxa"/>
              <w:bottom w:w="0" w:type="dxa"/>
              <w:right w:w="108" w:type="dxa"/>
            </w:tcMar>
            <w:vAlign w:val="center"/>
          </w:tcPr>
          <w:p w14:paraId="720AFFD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水面每周清捞1次。</w:t>
            </w:r>
          </w:p>
        </w:tc>
      </w:tr>
      <w:tr w14:paraId="48EB8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3425C5D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tcPr>
          <w:p w14:paraId="201A4A4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5677" w:type="dxa"/>
            <w:shd w:val="clear" w:color="auto" w:fill="FFFFFF"/>
            <w:tcMar>
              <w:top w:w="0" w:type="dxa"/>
              <w:left w:w="108" w:type="dxa"/>
              <w:bottom w:w="0" w:type="dxa"/>
              <w:right w:w="108" w:type="dxa"/>
            </w:tcMar>
          </w:tcPr>
          <w:p w14:paraId="37454FE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每2个月清洁、整修1次。</w:t>
            </w:r>
          </w:p>
        </w:tc>
      </w:tr>
      <w:tr w14:paraId="60778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restart"/>
            <w:shd w:val="clear" w:color="auto" w:fill="FFFFFF"/>
            <w:tcMar>
              <w:top w:w="0" w:type="dxa"/>
              <w:left w:w="108" w:type="dxa"/>
              <w:bottom w:w="0" w:type="dxa"/>
              <w:right w:w="108" w:type="dxa"/>
            </w:tcMar>
            <w:vAlign w:val="center"/>
          </w:tcPr>
          <w:p w14:paraId="7DA5353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w:t>
            </w:r>
          </w:p>
          <w:p w14:paraId="13ED4AA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防范</w:t>
            </w:r>
          </w:p>
        </w:tc>
        <w:tc>
          <w:tcPr>
            <w:tcW w:w="2200" w:type="dxa"/>
            <w:shd w:val="clear" w:color="auto" w:fill="FFFFFF"/>
            <w:tcMar>
              <w:top w:w="0" w:type="dxa"/>
              <w:left w:w="108" w:type="dxa"/>
              <w:bottom w:w="0" w:type="dxa"/>
              <w:right w:w="108" w:type="dxa"/>
            </w:tcMar>
            <w:vAlign w:val="center"/>
          </w:tcPr>
          <w:p w14:paraId="68C80D7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5677" w:type="dxa"/>
            <w:shd w:val="clear" w:color="auto" w:fill="FFFFFF"/>
            <w:tcMar>
              <w:top w:w="0" w:type="dxa"/>
              <w:left w:w="108" w:type="dxa"/>
              <w:bottom w:w="0" w:type="dxa"/>
              <w:right w:w="108" w:type="dxa"/>
            </w:tcMar>
            <w:vAlign w:val="center"/>
          </w:tcPr>
          <w:p w14:paraId="40E45AF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1、专职保安人员，身体健康，工作认真负责并定期接受培训。</w:t>
            </w:r>
          </w:p>
          <w:p w14:paraId="17CEED2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2、能处理和应对小区公共秩序维护工作，能正确使用各类消防、物防、技防器械和设备，能够熟悉、掌握各类刑事、治安案件和各类灾害事故的应急预案。</w:t>
            </w:r>
          </w:p>
          <w:p w14:paraId="5C7148A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3、上岗时佩带统一标志，穿戴统一制服，仪容仪表规范整齐。</w:t>
            </w:r>
          </w:p>
          <w:p w14:paraId="4AA5679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4、配备对讲装置和其他必备的安全护卫器械。</w:t>
            </w:r>
          </w:p>
        </w:tc>
      </w:tr>
      <w:tr w14:paraId="3E667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595629C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8FA61F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5677" w:type="dxa"/>
            <w:shd w:val="clear" w:color="auto" w:fill="FFFFFF"/>
            <w:tcMar>
              <w:top w:w="0" w:type="dxa"/>
              <w:left w:w="108" w:type="dxa"/>
              <w:bottom w:w="0" w:type="dxa"/>
              <w:right w:w="108" w:type="dxa"/>
            </w:tcMar>
            <w:vAlign w:val="center"/>
          </w:tcPr>
          <w:p w14:paraId="50B0733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1、主出入口24小时值班看守，至少2人值守，早晚高峰立岗时间不低于2小时，并有详细交接班记录和外来车辆的登记记录。</w:t>
            </w:r>
          </w:p>
          <w:p w14:paraId="45A870D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w:t>
            </w:r>
          </w:p>
        </w:tc>
      </w:tr>
      <w:tr w14:paraId="2B3BB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57F3D9E6">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1D2014C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5677" w:type="dxa"/>
            <w:shd w:val="clear" w:color="auto" w:fill="FFFFFF"/>
            <w:tcMar>
              <w:top w:w="0" w:type="dxa"/>
              <w:left w:w="108" w:type="dxa"/>
              <w:bottom w:w="0" w:type="dxa"/>
              <w:right w:w="108" w:type="dxa"/>
            </w:tcMar>
            <w:vAlign w:val="center"/>
          </w:tcPr>
          <w:p w14:paraId="1279F34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保安人员按指定的时间和路线，白天每两小时巡逻1次，夜间每三小时巡查1次，重点部位（小区道路、单元出入口、楼层和地下车库），有巡逻记录。</w:t>
            </w:r>
          </w:p>
        </w:tc>
      </w:tr>
      <w:tr w14:paraId="655D4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3" w:type="dxa"/>
            <w:vMerge w:val="continue"/>
            <w:shd w:val="clear" w:color="auto" w:fill="FFFFFF"/>
            <w:vAlign w:val="center"/>
          </w:tcPr>
          <w:p w14:paraId="24481EA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32CDA0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技防设施和救助</w:t>
            </w:r>
          </w:p>
          <w:p w14:paraId="19AE78F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（监控岗）</w:t>
            </w:r>
          </w:p>
        </w:tc>
        <w:tc>
          <w:tcPr>
            <w:tcW w:w="5677" w:type="dxa"/>
            <w:shd w:val="clear" w:color="auto" w:fill="FFFFFF"/>
            <w:tcMar>
              <w:top w:w="0" w:type="dxa"/>
              <w:left w:w="108" w:type="dxa"/>
              <w:bottom w:w="0" w:type="dxa"/>
              <w:right w:w="108" w:type="dxa"/>
            </w:tcMar>
            <w:vAlign w:val="center"/>
          </w:tcPr>
          <w:p w14:paraId="2A0E11C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1、小区应具备录像监控、楼宇对讲、周界报警等三项以上技防设施，24小时开通，并有人驻守，注视各设备所传达的信息。</w:t>
            </w:r>
          </w:p>
          <w:p w14:paraId="1761926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2、监控中心接到报警信号后，保安人员应立即赶到现场进行处理。</w:t>
            </w:r>
          </w:p>
          <w:p w14:paraId="1CD9AD9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3、小区应有火警、水警、警情应急预案，并在监控中心控制室内悬挂；每年应组织1次应急预案演习。</w:t>
            </w:r>
          </w:p>
        </w:tc>
      </w:tr>
      <w:tr w14:paraId="5E433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183" w:type="dxa"/>
            <w:vMerge w:val="continue"/>
            <w:shd w:val="clear" w:color="auto" w:fill="FFFFFF"/>
            <w:vAlign w:val="center"/>
          </w:tcPr>
          <w:p w14:paraId="13342A1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200" w:type="dxa"/>
            <w:shd w:val="clear" w:color="auto" w:fill="FFFFFF"/>
            <w:tcMar>
              <w:top w:w="0" w:type="dxa"/>
              <w:left w:w="108" w:type="dxa"/>
              <w:bottom w:w="0" w:type="dxa"/>
              <w:right w:w="108" w:type="dxa"/>
            </w:tcMar>
            <w:vAlign w:val="center"/>
          </w:tcPr>
          <w:p w14:paraId="52CC1F3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5677" w:type="dxa"/>
            <w:shd w:val="clear" w:color="auto" w:fill="FFFFFF"/>
            <w:tcMar>
              <w:top w:w="0" w:type="dxa"/>
              <w:left w:w="108" w:type="dxa"/>
              <w:bottom w:w="0" w:type="dxa"/>
              <w:right w:w="108" w:type="dxa"/>
            </w:tcMar>
            <w:vAlign w:val="center"/>
          </w:tcPr>
          <w:p w14:paraId="0A14CBA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1、地面、墙面按车辆道路行驶要求设立指示牌和地标，车辆行驶有规定路线，车辆停放有序。</w:t>
            </w:r>
          </w:p>
          <w:p w14:paraId="46AE21B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2、有专职人员24小时巡视和协助停车事宜。</w:t>
            </w:r>
          </w:p>
          <w:p w14:paraId="4D98339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3、收费管理的车库内地面、墙面按车辆道路行驶要求设立指示牌和地标，照明、消防器械配置齐全。</w:t>
            </w:r>
          </w:p>
        </w:tc>
      </w:tr>
    </w:tbl>
    <w:p w14:paraId="41C4CCB5">
      <w:pPr>
        <w:widowControl/>
        <w:snapToGrid w:val="0"/>
        <w:spacing w:line="560" w:lineRule="exact"/>
        <w:ind w:firstLine="308" w:firstLineChars="128"/>
        <w:rPr>
          <w:rFonts w:ascii="方正仿宋_GBK" w:hAnsi="Times New Roman" w:eastAsia="方正仿宋_GBK"/>
          <w:b/>
          <w:color w:val="000000"/>
          <w:kern w:val="0"/>
          <w:sz w:val="24"/>
          <w:szCs w:val="24"/>
        </w:rPr>
      </w:pPr>
    </w:p>
    <w:p w14:paraId="5F5B7592">
      <w:pPr>
        <w:widowControl/>
        <w:snapToGrid w:val="0"/>
        <w:spacing w:line="560" w:lineRule="exact"/>
        <w:ind w:firstLine="411" w:firstLineChars="128"/>
        <w:jc w:val="center"/>
        <w:rPr>
          <w:rFonts w:ascii="Times New Roman" w:hAnsi="Times New Roman"/>
          <w:b/>
          <w:color w:val="000000"/>
          <w:kern w:val="0"/>
          <w:sz w:val="32"/>
          <w:szCs w:val="32"/>
        </w:rPr>
      </w:pPr>
    </w:p>
    <w:p w14:paraId="0E94DF0D">
      <w:pPr>
        <w:widowControl/>
        <w:snapToGrid w:val="0"/>
        <w:spacing w:line="560" w:lineRule="exact"/>
        <w:ind w:firstLine="411" w:firstLineChars="128"/>
        <w:jc w:val="center"/>
        <w:rPr>
          <w:rFonts w:ascii="Times New Roman" w:hAnsi="Times New Roman"/>
          <w:b/>
          <w:color w:val="000000"/>
          <w:kern w:val="0"/>
          <w:sz w:val="32"/>
          <w:szCs w:val="32"/>
        </w:rPr>
      </w:pPr>
    </w:p>
    <w:p w14:paraId="3842E124">
      <w:pPr>
        <w:widowControl/>
        <w:snapToGrid w:val="0"/>
        <w:spacing w:line="560" w:lineRule="exact"/>
        <w:ind w:firstLine="411" w:firstLineChars="128"/>
        <w:jc w:val="center"/>
        <w:rPr>
          <w:rFonts w:ascii="Times New Roman" w:hAnsi="Times New Roman"/>
          <w:b/>
          <w:color w:val="000000"/>
          <w:kern w:val="0"/>
          <w:sz w:val="32"/>
          <w:szCs w:val="32"/>
        </w:rPr>
      </w:pPr>
    </w:p>
    <w:p w14:paraId="68BA2C4F">
      <w:pPr>
        <w:widowControl/>
        <w:snapToGrid w:val="0"/>
        <w:spacing w:line="560" w:lineRule="exact"/>
        <w:ind w:firstLine="411" w:firstLineChars="128"/>
        <w:jc w:val="center"/>
        <w:rPr>
          <w:rFonts w:ascii="Times New Roman" w:hAnsi="Times New Roman"/>
          <w:b/>
          <w:color w:val="000000"/>
          <w:kern w:val="0"/>
          <w:sz w:val="32"/>
          <w:szCs w:val="32"/>
        </w:rPr>
      </w:pPr>
    </w:p>
    <w:p w14:paraId="6B41AE81">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宜兴市普通住宅物业服务等级六级服务标准</w:t>
      </w:r>
    </w:p>
    <w:p w14:paraId="29CD4841">
      <w:pPr>
        <w:widowControl/>
        <w:snapToGrid w:val="0"/>
        <w:spacing w:line="480" w:lineRule="exact"/>
        <w:ind w:firstLine="307" w:firstLineChars="128"/>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(指导价2.00元/㎡·月，不含电梯运行维护费、公共能耗费)</w:t>
      </w:r>
    </w:p>
    <w:p w14:paraId="4C370D3E">
      <w:pPr>
        <w:widowControl/>
        <w:snapToGrid w:val="0"/>
        <w:spacing w:line="480" w:lineRule="exact"/>
        <w:ind w:firstLine="307" w:firstLineChars="128"/>
        <w:jc w:val="center"/>
        <w:rPr>
          <w:rFonts w:ascii="方正仿宋_GBK" w:hAnsi="Times New Roman" w:eastAsia="方正仿宋_GBK"/>
          <w:color w:val="000000"/>
          <w:kern w:val="0"/>
          <w:sz w:val="24"/>
          <w:szCs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89"/>
        <w:gridCol w:w="2077"/>
        <w:gridCol w:w="6091"/>
      </w:tblGrid>
      <w:tr w14:paraId="11A02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189" w:type="dxa"/>
            <w:shd w:val="clear" w:color="auto" w:fill="FFFFFF"/>
            <w:tcMar>
              <w:top w:w="0" w:type="dxa"/>
              <w:left w:w="108" w:type="dxa"/>
              <w:bottom w:w="0" w:type="dxa"/>
              <w:right w:w="108" w:type="dxa"/>
            </w:tcMar>
            <w:vAlign w:val="center"/>
          </w:tcPr>
          <w:p w14:paraId="070A676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077" w:type="dxa"/>
            <w:shd w:val="clear" w:color="auto" w:fill="FFFFFF"/>
            <w:tcMar>
              <w:top w:w="0" w:type="dxa"/>
              <w:left w:w="108" w:type="dxa"/>
              <w:bottom w:w="0" w:type="dxa"/>
              <w:right w:w="108" w:type="dxa"/>
            </w:tcMar>
            <w:vAlign w:val="center"/>
          </w:tcPr>
          <w:p w14:paraId="57B4EA8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6091" w:type="dxa"/>
            <w:shd w:val="clear" w:color="auto" w:fill="FFFFFF"/>
            <w:tcMar>
              <w:top w:w="0" w:type="dxa"/>
              <w:left w:w="108" w:type="dxa"/>
              <w:bottom w:w="0" w:type="dxa"/>
              <w:right w:w="108" w:type="dxa"/>
            </w:tcMar>
            <w:vAlign w:val="center"/>
          </w:tcPr>
          <w:p w14:paraId="253FA30E">
            <w:pPr>
              <w:widowControl/>
              <w:snapToGrid w:val="0"/>
              <w:spacing w:line="400" w:lineRule="exact"/>
              <w:ind w:firstLine="48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37E1D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restart"/>
            <w:shd w:val="clear" w:color="auto" w:fill="FFFFFF"/>
            <w:tcMar>
              <w:top w:w="0" w:type="dxa"/>
              <w:left w:w="108" w:type="dxa"/>
              <w:bottom w:w="0" w:type="dxa"/>
              <w:right w:w="108" w:type="dxa"/>
            </w:tcMar>
            <w:vAlign w:val="center"/>
          </w:tcPr>
          <w:p w14:paraId="05218D5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684D150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077" w:type="dxa"/>
            <w:shd w:val="clear" w:color="auto" w:fill="FFFFFF"/>
            <w:tcMar>
              <w:top w:w="0" w:type="dxa"/>
              <w:left w:w="108" w:type="dxa"/>
              <w:bottom w:w="0" w:type="dxa"/>
              <w:right w:w="108" w:type="dxa"/>
            </w:tcMar>
            <w:vAlign w:val="center"/>
          </w:tcPr>
          <w:p w14:paraId="57BC83C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6091" w:type="dxa"/>
            <w:shd w:val="clear" w:color="auto" w:fill="FFFFFF"/>
            <w:tcMar>
              <w:top w:w="0" w:type="dxa"/>
              <w:left w:w="108" w:type="dxa"/>
              <w:bottom w:w="0" w:type="dxa"/>
              <w:right w:w="108" w:type="dxa"/>
            </w:tcMar>
            <w:vAlign w:val="center"/>
          </w:tcPr>
          <w:p w14:paraId="00CF8D3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7795F12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2、每10万平方米建筑面积配备1个客服接待点或区域，有专人提供不少于8小时的客户服务。</w:t>
            </w:r>
          </w:p>
          <w:p w14:paraId="20549F2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3、配置办公家具、电话、复印机、电脑、打印机、网络等办公设施及办公用品。</w:t>
            </w:r>
          </w:p>
        </w:tc>
      </w:tr>
      <w:tr w14:paraId="0BBF8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1928D90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2B993D1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6091" w:type="dxa"/>
            <w:shd w:val="clear" w:color="auto" w:fill="FFFFFF"/>
            <w:tcMar>
              <w:top w:w="0" w:type="dxa"/>
              <w:left w:w="108" w:type="dxa"/>
              <w:bottom w:w="0" w:type="dxa"/>
              <w:right w:w="108" w:type="dxa"/>
            </w:tcMar>
            <w:vAlign w:val="center"/>
          </w:tcPr>
          <w:p w14:paraId="567F019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1、小区经理有物业管理员上岗证和项目经理上岗证，有1年以上小区经理任职经历。</w:t>
            </w:r>
          </w:p>
          <w:p w14:paraId="4CEBA48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2、管理人员服装统一，挂牌上岗，仪表整洁规范。</w:t>
            </w:r>
          </w:p>
        </w:tc>
      </w:tr>
      <w:tr w14:paraId="0A91D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4360784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6E99B98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6091" w:type="dxa"/>
            <w:shd w:val="clear" w:color="auto" w:fill="FFFFFF"/>
            <w:tcMar>
              <w:top w:w="0" w:type="dxa"/>
              <w:left w:w="108" w:type="dxa"/>
              <w:bottom w:w="0" w:type="dxa"/>
              <w:right w:w="108" w:type="dxa"/>
            </w:tcMar>
            <w:vAlign w:val="center"/>
          </w:tcPr>
          <w:p w14:paraId="5BAED37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管理处周一至周日每天10小时业务接待，并提供服务。</w:t>
            </w:r>
          </w:p>
        </w:tc>
      </w:tr>
      <w:tr w14:paraId="05699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AE5883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5526FC6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6091" w:type="dxa"/>
            <w:shd w:val="clear" w:color="auto" w:fill="FFFFFF"/>
            <w:tcMar>
              <w:top w:w="0" w:type="dxa"/>
              <w:left w:w="108" w:type="dxa"/>
              <w:bottom w:w="0" w:type="dxa"/>
              <w:right w:w="108" w:type="dxa"/>
            </w:tcMar>
          </w:tcPr>
          <w:p w14:paraId="4528C1F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1、24小时受理业主或使用人报修。急修半小时内到现场处理，一般修理1天内完成（预约除外）。</w:t>
            </w:r>
          </w:p>
          <w:p w14:paraId="4F5157E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2、对业主或使用人的投诉在2天内答复处理。</w:t>
            </w:r>
          </w:p>
          <w:p w14:paraId="3BB8270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3、公示服务标准和收费标准，每半年向业主公布财务状况1次，公共水电费能耗分摊每季向业主公布1次。</w:t>
            </w:r>
          </w:p>
          <w:p w14:paraId="11EEB18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4、制定小区物业服务年度和月度工作计划并组织实施，每季向委托方报告1次计划实施情况。</w:t>
            </w:r>
          </w:p>
          <w:p w14:paraId="72F9CEF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5、制定小区房屋装修申请、审批、巡视、验收等装修管理制度，建立业主或使用人房屋装修档案，对不符合规定的行为、现象及时劝阻、制止或报告。</w:t>
            </w:r>
          </w:p>
          <w:p w14:paraId="2394205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6、可采取走访、恳谈会、问卷调查、通讯等多种形式与业主或使用人进行沟通，每年的沟通面不低于小区住户的50%。</w:t>
            </w:r>
          </w:p>
          <w:p w14:paraId="6457B21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7、运用计算机进行管理（含业主档案、收费管理、设备管理等）。</w:t>
            </w:r>
          </w:p>
          <w:p w14:paraId="6AA3955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8、能提供三种以上特约服务（有偿）和三种以上便民（无偿）服务；节假日有专题布置，每年组织2次以上的社区活动。</w:t>
            </w:r>
          </w:p>
        </w:tc>
      </w:tr>
      <w:tr w14:paraId="1CB19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restart"/>
            <w:shd w:val="clear" w:color="auto" w:fill="FFFFFF"/>
            <w:tcMar>
              <w:top w:w="0" w:type="dxa"/>
              <w:left w:w="108" w:type="dxa"/>
              <w:bottom w:w="0" w:type="dxa"/>
              <w:right w:w="108" w:type="dxa"/>
            </w:tcMar>
            <w:vAlign w:val="center"/>
          </w:tcPr>
          <w:p w14:paraId="69CC014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0E79622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077" w:type="dxa"/>
            <w:shd w:val="clear" w:color="auto" w:fill="FFFFFF"/>
            <w:tcMar>
              <w:top w:w="0" w:type="dxa"/>
              <w:left w:w="108" w:type="dxa"/>
              <w:bottom w:w="0" w:type="dxa"/>
              <w:right w:w="108" w:type="dxa"/>
            </w:tcMar>
            <w:vAlign w:val="center"/>
          </w:tcPr>
          <w:p w14:paraId="756836B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6091" w:type="dxa"/>
            <w:shd w:val="clear" w:color="auto" w:fill="FFFFFF"/>
            <w:tcMar>
              <w:top w:w="0" w:type="dxa"/>
              <w:left w:w="108" w:type="dxa"/>
              <w:bottom w:w="0" w:type="dxa"/>
              <w:right w:w="108" w:type="dxa"/>
            </w:tcMar>
            <w:vAlign w:val="center"/>
          </w:tcPr>
          <w:p w14:paraId="1B89401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每日打扫1次各楼层通道和楼梯台阶，擦拭1次楼梯扶手，地面每周湿拖1次，大理石地面每半年打蜡1次，公共设施每周循环清洁1次，各梯间墙面、顶面每周除尘1次。</w:t>
            </w:r>
          </w:p>
        </w:tc>
      </w:tr>
      <w:tr w14:paraId="505CD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7F78E02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2ECA6CC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电梯及电梯厅保洁</w:t>
            </w:r>
          </w:p>
        </w:tc>
        <w:tc>
          <w:tcPr>
            <w:tcW w:w="6091" w:type="dxa"/>
            <w:shd w:val="clear" w:color="auto" w:fill="FFFFFF"/>
            <w:tcMar>
              <w:top w:w="0" w:type="dxa"/>
              <w:left w:w="108" w:type="dxa"/>
              <w:bottom w:w="0" w:type="dxa"/>
              <w:right w:w="108" w:type="dxa"/>
            </w:tcMar>
            <w:vAlign w:val="center"/>
          </w:tcPr>
          <w:p w14:paraId="2FFE54B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保持电梯轿厢清洁，每日清洁1次，每月对电梯门壁打蜡上光1次。</w:t>
            </w:r>
          </w:p>
        </w:tc>
      </w:tr>
      <w:tr w14:paraId="05FCA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094C090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5258789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6091" w:type="dxa"/>
            <w:shd w:val="clear" w:color="auto" w:fill="FFFFFF"/>
            <w:tcMar>
              <w:top w:w="0" w:type="dxa"/>
              <w:left w:w="108" w:type="dxa"/>
              <w:bottom w:w="0" w:type="dxa"/>
              <w:right w:w="108" w:type="dxa"/>
            </w:tcMar>
            <w:vAlign w:val="center"/>
          </w:tcPr>
          <w:p w14:paraId="10398F3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每日清洁3次、消杀2次，发现墙壁有污渍及时清洁。</w:t>
            </w:r>
          </w:p>
        </w:tc>
      </w:tr>
      <w:tr w14:paraId="166B4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4491923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7F37978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停车场、共用车库或车棚保洁</w:t>
            </w:r>
          </w:p>
        </w:tc>
        <w:tc>
          <w:tcPr>
            <w:tcW w:w="6091" w:type="dxa"/>
            <w:shd w:val="clear" w:color="auto" w:fill="FFFFFF"/>
            <w:tcMar>
              <w:top w:w="0" w:type="dxa"/>
              <w:left w:w="108" w:type="dxa"/>
              <w:bottom w:w="0" w:type="dxa"/>
              <w:right w:w="108" w:type="dxa"/>
            </w:tcMar>
            <w:vAlign w:val="center"/>
          </w:tcPr>
          <w:p w14:paraId="5B86533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每周清扫2次车库，每月进行2次地下室消杀工作。</w:t>
            </w:r>
          </w:p>
        </w:tc>
      </w:tr>
      <w:tr w14:paraId="24A79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4" w:hRule="atLeast"/>
        </w:trPr>
        <w:tc>
          <w:tcPr>
            <w:tcW w:w="1189" w:type="dxa"/>
            <w:vMerge w:val="continue"/>
            <w:shd w:val="clear" w:color="auto" w:fill="FFFFFF"/>
            <w:vAlign w:val="center"/>
          </w:tcPr>
          <w:p w14:paraId="6BE66567">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4799622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6091" w:type="dxa"/>
            <w:shd w:val="clear" w:color="auto" w:fill="FFFFFF"/>
            <w:tcMar>
              <w:top w:w="0" w:type="dxa"/>
              <w:left w:w="108" w:type="dxa"/>
              <w:bottom w:w="0" w:type="dxa"/>
              <w:right w:w="108" w:type="dxa"/>
            </w:tcMar>
            <w:vAlign w:val="center"/>
          </w:tcPr>
          <w:p w14:paraId="58265AC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每日清扫1次，巡视保洁，确保绿化带、道路整洁。</w:t>
            </w:r>
          </w:p>
        </w:tc>
      </w:tr>
      <w:tr w14:paraId="4E025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2223DDB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9CB4CA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w:t>
            </w:r>
          </w:p>
          <w:p w14:paraId="03A2394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信报箱保洁</w:t>
            </w:r>
          </w:p>
        </w:tc>
        <w:tc>
          <w:tcPr>
            <w:tcW w:w="6091" w:type="dxa"/>
            <w:shd w:val="clear" w:color="auto" w:fill="FFFFFF"/>
            <w:tcMar>
              <w:top w:w="0" w:type="dxa"/>
              <w:left w:w="108" w:type="dxa"/>
              <w:bottom w:w="0" w:type="dxa"/>
              <w:right w:w="108" w:type="dxa"/>
            </w:tcMar>
            <w:vAlign w:val="center"/>
          </w:tcPr>
          <w:p w14:paraId="41B417E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标识、宣传牌每2日擦拭1次，雕塑、信报箱每2周擦拭1次。</w:t>
            </w:r>
          </w:p>
        </w:tc>
      </w:tr>
      <w:tr w14:paraId="72B08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88BDE7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2950DCD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 休闲、娱乐、</w:t>
            </w:r>
          </w:p>
          <w:p w14:paraId="1DB221D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健身设施</w:t>
            </w:r>
          </w:p>
        </w:tc>
        <w:tc>
          <w:tcPr>
            <w:tcW w:w="6091" w:type="dxa"/>
            <w:shd w:val="clear" w:color="auto" w:fill="FFFFFF"/>
            <w:tcMar>
              <w:top w:w="0" w:type="dxa"/>
              <w:left w:w="108" w:type="dxa"/>
              <w:bottom w:w="0" w:type="dxa"/>
              <w:right w:w="108" w:type="dxa"/>
            </w:tcMar>
            <w:vAlign w:val="center"/>
          </w:tcPr>
          <w:p w14:paraId="5550B8B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w:t>
            </w:r>
          </w:p>
        </w:tc>
      </w:tr>
      <w:tr w14:paraId="6699B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5D07148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8475AE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 门卫、岗亭、</w:t>
            </w:r>
          </w:p>
          <w:p w14:paraId="71D118A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监控探头保洁</w:t>
            </w:r>
          </w:p>
        </w:tc>
        <w:tc>
          <w:tcPr>
            <w:tcW w:w="6091" w:type="dxa"/>
            <w:shd w:val="clear" w:color="auto" w:fill="FFFFFF"/>
            <w:tcMar>
              <w:top w:w="0" w:type="dxa"/>
              <w:left w:w="108" w:type="dxa"/>
              <w:bottom w:w="0" w:type="dxa"/>
              <w:right w:w="108" w:type="dxa"/>
            </w:tcMar>
            <w:vAlign w:val="center"/>
          </w:tcPr>
          <w:p w14:paraId="57BC1DC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门卫、岗亭每日清洁2次，监控探头每月擦拭1次。</w:t>
            </w:r>
          </w:p>
        </w:tc>
      </w:tr>
      <w:tr w14:paraId="733A0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3548174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E645B5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6091" w:type="dxa"/>
            <w:shd w:val="clear" w:color="auto" w:fill="FFFFFF"/>
            <w:tcMar>
              <w:top w:w="0" w:type="dxa"/>
              <w:left w:w="108" w:type="dxa"/>
              <w:bottom w:w="0" w:type="dxa"/>
              <w:right w:w="108" w:type="dxa"/>
            </w:tcMar>
            <w:vAlign w:val="center"/>
          </w:tcPr>
          <w:p w14:paraId="1681C5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每日收集2次，每日擦拭1次，每周清洗1次。</w:t>
            </w:r>
          </w:p>
        </w:tc>
      </w:tr>
      <w:tr w14:paraId="38454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4A8F7CE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3EE93CD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6091" w:type="dxa"/>
            <w:shd w:val="clear" w:color="auto" w:fill="FFFFFF"/>
            <w:tcMar>
              <w:top w:w="0" w:type="dxa"/>
              <w:left w:w="108" w:type="dxa"/>
              <w:bottom w:w="0" w:type="dxa"/>
              <w:right w:w="108" w:type="dxa"/>
            </w:tcMar>
            <w:vAlign w:val="center"/>
          </w:tcPr>
          <w:p w14:paraId="2E02E62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按楼道口设置垃圾收集箱或点，每日早晚定时清理2次；垃圾收集箱或点周围地面无散落垃圾、无污迹、无异味，每日擦拭1次，每周清洗1次。</w:t>
            </w:r>
          </w:p>
        </w:tc>
      </w:tr>
      <w:tr w14:paraId="7B08D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27595C4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0DF0531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 xml:space="preserve"> 卫生消杀</w:t>
            </w:r>
          </w:p>
        </w:tc>
        <w:tc>
          <w:tcPr>
            <w:tcW w:w="6091" w:type="dxa"/>
            <w:shd w:val="clear" w:color="auto" w:fill="FFFFFF"/>
            <w:tcMar>
              <w:top w:w="0" w:type="dxa"/>
              <w:left w:w="108" w:type="dxa"/>
              <w:bottom w:w="0" w:type="dxa"/>
              <w:right w:w="108" w:type="dxa"/>
            </w:tcMar>
            <w:vAlign w:val="center"/>
          </w:tcPr>
          <w:p w14:paraId="1CADB92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灭鼠、灭蚊等每2个月至少进行1次，夏季每月消杀1次。</w:t>
            </w:r>
          </w:p>
        </w:tc>
      </w:tr>
      <w:tr w14:paraId="12F55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30ADBD7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EBEE28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6091" w:type="dxa"/>
            <w:shd w:val="clear" w:color="auto" w:fill="FFFFFF"/>
            <w:tcMar>
              <w:top w:w="0" w:type="dxa"/>
              <w:left w:w="108" w:type="dxa"/>
              <w:bottom w:w="0" w:type="dxa"/>
              <w:right w:w="108" w:type="dxa"/>
            </w:tcMar>
            <w:vAlign w:val="center"/>
          </w:tcPr>
          <w:p w14:paraId="06F9C93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每月清理1次，保持清洁、无垃圾。</w:t>
            </w:r>
          </w:p>
        </w:tc>
      </w:tr>
      <w:tr w14:paraId="0DBDC4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7" w:hRule="atLeast"/>
        </w:trPr>
        <w:tc>
          <w:tcPr>
            <w:tcW w:w="1189" w:type="dxa"/>
            <w:shd w:val="clear" w:color="auto" w:fill="FFFFFF"/>
            <w:tcMar>
              <w:top w:w="0" w:type="dxa"/>
              <w:left w:w="108" w:type="dxa"/>
              <w:bottom w:w="0" w:type="dxa"/>
              <w:right w:w="108" w:type="dxa"/>
            </w:tcMar>
            <w:vAlign w:val="center"/>
          </w:tcPr>
          <w:p w14:paraId="262F805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Times New Roman" w:hAnsi="Times New Roman" w:eastAsia="方正仿宋_GBK"/>
                <w:color w:val="000000"/>
                <w:kern w:val="0"/>
                <w:sz w:val="24"/>
                <w:szCs w:val="24"/>
              </w:rPr>
              <w:t> </w:t>
            </w:r>
          </w:p>
        </w:tc>
        <w:tc>
          <w:tcPr>
            <w:tcW w:w="2077" w:type="dxa"/>
            <w:shd w:val="clear" w:color="auto" w:fill="FFFFFF"/>
            <w:tcMar>
              <w:top w:w="0" w:type="dxa"/>
              <w:left w:w="108" w:type="dxa"/>
              <w:bottom w:w="0" w:type="dxa"/>
              <w:right w:w="108" w:type="dxa"/>
            </w:tcMar>
            <w:vAlign w:val="center"/>
          </w:tcPr>
          <w:p w14:paraId="1A1F291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公共部位门窗</w:t>
            </w:r>
          </w:p>
        </w:tc>
        <w:tc>
          <w:tcPr>
            <w:tcW w:w="6091" w:type="dxa"/>
            <w:shd w:val="clear" w:color="auto" w:fill="FFFFFF"/>
            <w:tcMar>
              <w:top w:w="0" w:type="dxa"/>
              <w:left w:w="108" w:type="dxa"/>
              <w:bottom w:w="0" w:type="dxa"/>
              <w:right w:w="108" w:type="dxa"/>
            </w:tcMar>
            <w:vAlign w:val="center"/>
          </w:tcPr>
          <w:p w14:paraId="7ADA32A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每天巡视楼内公共部位门窗，保持玻璃、门窗配件完好，门、窗开闭灵活并无异常声响。</w:t>
            </w:r>
          </w:p>
        </w:tc>
      </w:tr>
      <w:tr w14:paraId="2AA66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restart"/>
            <w:shd w:val="clear" w:color="auto" w:fill="FFFFFF"/>
            <w:tcMar>
              <w:top w:w="0" w:type="dxa"/>
              <w:left w:w="108" w:type="dxa"/>
              <w:bottom w:w="0" w:type="dxa"/>
              <w:right w:w="108" w:type="dxa"/>
            </w:tcMar>
            <w:vAlign w:val="center"/>
          </w:tcPr>
          <w:p w14:paraId="2B6282B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077" w:type="dxa"/>
            <w:shd w:val="clear" w:color="auto" w:fill="FFFFFF"/>
            <w:tcMar>
              <w:top w:w="0" w:type="dxa"/>
              <w:left w:w="108" w:type="dxa"/>
              <w:bottom w:w="0" w:type="dxa"/>
              <w:right w:w="108" w:type="dxa"/>
            </w:tcMar>
            <w:vAlign w:val="center"/>
          </w:tcPr>
          <w:p w14:paraId="4D83250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6091" w:type="dxa"/>
            <w:shd w:val="clear" w:color="auto" w:fill="FFFFFF"/>
            <w:tcMar>
              <w:top w:w="0" w:type="dxa"/>
              <w:left w:w="108" w:type="dxa"/>
              <w:bottom w:w="0" w:type="dxa"/>
              <w:right w:w="108" w:type="dxa"/>
            </w:tcMar>
            <w:vAlign w:val="center"/>
          </w:tcPr>
          <w:p w14:paraId="5252C4A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每月1次巡查围墙，发现损坏立即修复，铁栅栏围墙表面无锈蚀，保持围墙完好。</w:t>
            </w:r>
          </w:p>
        </w:tc>
      </w:tr>
      <w:tr w14:paraId="41194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9" w:hRule="atLeast"/>
        </w:trPr>
        <w:tc>
          <w:tcPr>
            <w:tcW w:w="1189" w:type="dxa"/>
            <w:vMerge w:val="continue"/>
            <w:shd w:val="clear" w:color="auto" w:fill="FFFFFF"/>
            <w:vAlign w:val="center"/>
          </w:tcPr>
          <w:p w14:paraId="6E9EDCF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6F0B135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6091" w:type="dxa"/>
            <w:shd w:val="clear" w:color="auto" w:fill="FFFFFF"/>
            <w:tcMar>
              <w:top w:w="0" w:type="dxa"/>
              <w:left w:w="108" w:type="dxa"/>
              <w:bottom w:w="0" w:type="dxa"/>
              <w:right w:w="108" w:type="dxa"/>
            </w:tcMar>
          </w:tcPr>
          <w:p w14:paraId="3744B33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每月1次巡查道路、路面、侧石、井盖等，发现损坏及时修复，保持路面平整、无破损、无积水，侧石平直无缺损。</w:t>
            </w:r>
          </w:p>
        </w:tc>
      </w:tr>
      <w:tr w14:paraId="7D358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24D67D7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73C5791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6091" w:type="dxa"/>
            <w:shd w:val="clear" w:color="auto" w:fill="FFFFFF"/>
            <w:tcMar>
              <w:top w:w="0" w:type="dxa"/>
              <w:left w:w="108" w:type="dxa"/>
              <w:bottom w:w="0" w:type="dxa"/>
              <w:right w:w="108" w:type="dxa"/>
            </w:tcMar>
            <w:vAlign w:val="center"/>
          </w:tcPr>
          <w:p w14:paraId="7E0FF87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每月清扫1次以上排水明沟，每季对地下管井清理1次，每半年对地下管井彻底疏通1次。</w:t>
            </w:r>
          </w:p>
        </w:tc>
      </w:tr>
      <w:tr w14:paraId="4F960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45CBC31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468EA10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6091" w:type="dxa"/>
            <w:shd w:val="clear" w:color="auto" w:fill="FFFFFF"/>
            <w:tcMar>
              <w:top w:w="0" w:type="dxa"/>
              <w:left w:w="108" w:type="dxa"/>
              <w:bottom w:w="0" w:type="dxa"/>
              <w:right w:w="108" w:type="dxa"/>
            </w:tcMar>
            <w:vAlign w:val="center"/>
          </w:tcPr>
          <w:p w14:paraId="6AF7E5C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饮用水水池(箱)每半年清洗消毒1次、水质化验达标，每季清扫1次泵房，每半年对水泵机组清洗保养1次，每季对共用给水管道进行1次全面检查维修。</w:t>
            </w:r>
          </w:p>
        </w:tc>
      </w:tr>
      <w:tr w14:paraId="19647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0DA3875F">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C596FA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w:t>
            </w:r>
          </w:p>
          <w:p w14:paraId="42467CE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景观灯、节日彩灯</w:t>
            </w:r>
          </w:p>
          <w:p w14:paraId="2C35D6A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大堂吊灯等</w:t>
            </w:r>
          </w:p>
        </w:tc>
        <w:tc>
          <w:tcPr>
            <w:tcW w:w="6091" w:type="dxa"/>
            <w:shd w:val="clear" w:color="auto" w:fill="FFFFFF"/>
            <w:tcMar>
              <w:top w:w="0" w:type="dxa"/>
              <w:left w:w="108" w:type="dxa"/>
              <w:bottom w:w="0" w:type="dxa"/>
              <w:right w:w="108" w:type="dxa"/>
            </w:tcMar>
            <w:vAlign w:val="center"/>
          </w:tcPr>
          <w:p w14:paraId="2A549E6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保持灯具完好，亮灯率在95%以上。</w:t>
            </w:r>
          </w:p>
        </w:tc>
      </w:tr>
      <w:tr w14:paraId="18E84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418FC1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3CEE11F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6091" w:type="dxa"/>
            <w:shd w:val="clear" w:color="auto" w:fill="FFFFFF"/>
            <w:tcMar>
              <w:top w:w="0" w:type="dxa"/>
              <w:left w:w="108" w:type="dxa"/>
              <w:bottom w:w="0" w:type="dxa"/>
              <w:right w:w="108" w:type="dxa"/>
            </w:tcMar>
            <w:vAlign w:val="center"/>
          </w:tcPr>
          <w:p w14:paraId="4E08241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1、消防泵每月启动1次并作记录，定期保养，保证其运行正常。</w:t>
            </w:r>
          </w:p>
          <w:p w14:paraId="75D08C6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2、消防栓每月巡查1次，消防栓箱内各种配件完好。</w:t>
            </w:r>
          </w:p>
          <w:p w14:paraId="18BE103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3、每天检查火警功能、报警功能是否正常。</w:t>
            </w:r>
          </w:p>
          <w:p w14:paraId="5060E9B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4、每年试验1次探测器，并对全部控制装置进行1次试验，不合格的应当调换。</w:t>
            </w:r>
          </w:p>
          <w:p w14:paraId="3E7CA9B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5、每半年检查1次消防水带、阀杆处加注润滑油并作1次放水检查。</w:t>
            </w:r>
          </w:p>
          <w:p w14:paraId="51348DF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6、每月检查1次灭火器，临近失效立即更新或充压。</w:t>
            </w:r>
          </w:p>
        </w:tc>
      </w:tr>
      <w:tr w14:paraId="6A534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4A145E3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62DCF71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6091" w:type="dxa"/>
            <w:shd w:val="clear" w:color="auto" w:fill="FFFFFF"/>
            <w:tcMar>
              <w:top w:w="0" w:type="dxa"/>
              <w:left w:w="108" w:type="dxa"/>
              <w:bottom w:w="0" w:type="dxa"/>
              <w:right w:w="108" w:type="dxa"/>
            </w:tcMar>
            <w:vAlign w:val="center"/>
          </w:tcPr>
          <w:p w14:paraId="746B0E9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每日巡查小区房屋单元门、楼道、管线井道、机房以及其它共用设施设备,并及时维修养护，保证正常运行；小区主要道路及停车场交通标志、安全警示标志齐全。</w:t>
            </w:r>
          </w:p>
        </w:tc>
      </w:tr>
      <w:tr w14:paraId="1044F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9" w:hRule="atLeast"/>
        </w:trPr>
        <w:tc>
          <w:tcPr>
            <w:tcW w:w="1189" w:type="dxa"/>
            <w:vMerge w:val="restart"/>
            <w:shd w:val="clear" w:color="auto" w:fill="FFFFFF"/>
            <w:tcMar>
              <w:top w:w="0" w:type="dxa"/>
              <w:left w:w="108" w:type="dxa"/>
              <w:bottom w:w="0" w:type="dxa"/>
              <w:right w:w="108" w:type="dxa"/>
            </w:tcMar>
            <w:vAlign w:val="center"/>
          </w:tcPr>
          <w:p w14:paraId="476A396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w:t>
            </w:r>
          </w:p>
          <w:p w14:paraId="3BD2308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w:t>
            </w:r>
          </w:p>
          <w:p w14:paraId="31698C5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养护</w:t>
            </w:r>
          </w:p>
          <w:p w14:paraId="236C05D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与管理</w:t>
            </w:r>
          </w:p>
        </w:tc>
        <w:tc>
          <w:tcPr>
            <w:tcW w:w="2077" w:type="dxa"/>
            <w:shd w:val="clear" w:color="auto" w:fill="FFFFFF"/>
            <w:tcMar>
              <w:top w:w="0" w:type="dxa"/>
              <w:left w:w="108" w:type="dxa"/>
              <w:bottom w:w="0" w:type="dxa"/>
              <w:right w:w="108" w:type="dxa"/>
            </w:tcMar>
            <w:vAlign w:val="center"/>
          </w:tcPr>
          <w:p w14:paraId="750553A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6091" w:type="dxa"/>
            <w:shd w:val="clear" w:color="auto" w:fill="FFFFFF"/>
            <w:tcMar>
              <w:top w:w="0" w:type="dxa"/>
              <w:left w:w="108" w:type="dxa"/>
              <w:bottom w:w="0" w:type="dxa"/>
              <w:right w:w="108" w:type="dxa"/>
            </w:tcMar>
            <w:vAlign w:val="center"/>
          </w:tcPr>
          <w:p w14:paraId="6615A68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地被、草配植科学，层次丰富、季相分明。集中绿地布置全冠大树；花坛、花景面积占绿地总面积1%以上；植物品种多样（不少于30种）。乔灌木生长健壮，树冠完整，形态优美；花灌木按时开花结果；球、篱、地被生长茂盛，无缺枝、空挡。</w:t>
            </w:r>
          </w:p>
        </w:tc>
      </w:tr>
      <w:tr w14:paraId="1F3CC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6A0037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768FD41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w:t>
            </w:r>
          </w:p>
          <w:p w14:paraId="3DE03E3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灌木类、花坛</w:t>
            </w:r>
          </w:p>
        </w:tc>
        <w:tc>
          <w:tcPr>
            <w:tcW w:w="6091" w:type="dxa"/>
            <w:shd w:val="clear" w:color="auto" w:fill="FFFFFF"/>
            <w:tcMar>
              <w:top w:w="0" w:type="dxa"/>
              <w:left w:w="108" w:type="dxa"/>
              <w:bottom w:w="0" w:type="dxa"/>
              <w:right w:w="108" w:type="dxa"/>
            </w:tcMar>
            <w:vAlign w:val="center"/>
          </w:tcPr>
          <w:p w14:paraId="337DB30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成活率95%以上，每年修剪4次，除虫施肥每年1次，虫害及时灭杀。</w:t>
            </w:r>
          </w:p>
        </w:tc>
      </w:tr>
      <w:tr w14:paraId="7EF89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1CC613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tcPr>
          <w:p w14:paraId="387EE66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6091" w:type="dxa"/>
            <w:shd w:val="clear" w:color="auto" w:fill="FFFFFF"/>
            <w:tcMar>
              <w:top w:w="0" w:type="dxa"/>
              <w:left w:w="108" w:type="dxa"/>
              <w:bottom w:w="0" w:type="dxa"/>
              <w:right w:w="108" w:type="dxa"/>
            </w:tcMar>
          </w:tcPr>
          <w:p w14:paraId="04EED83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成活率95%以上，每年修剪3次，除虫施肥每年1次，虫害及时灭杀。</w:t>
            </w:r>
          </w:p>
        </w:tc>
      </w:tr>
      <w:tr w14:paraId="3D1D6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1299A41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635A7CD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6091" w:type="dxa"/>
            <w:shd w:val="clear" w:color="auto" w:fill="FFFFFF"/>
            <w:tcMar>
              <w:top w:w="0" w:type="dxa"/>
              <w:left w:w="108" w:type="dxa"/>
              <w:bottom w:w="0" w:type="dxa"/>
              <w:right w:w="108" w:type="dxa"/>
            </w:tcMar>
            <w:vAlign w:val="center"/>
          </w:tcPr>
          <w:p w14:paraId="73E298F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水面每日清捞1次，每月清理1次，人工湖每年</w:t>
            </w:r>
          </w:p>
          <w:p w14:paraId="25D3B5B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换水1次，水质不良及时更换。</w:t>
            </w:r>
          </w:p>
        </w:tc>
      </w:tr>
      <w:tr w14:paraId="47F7A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1189" w:type="dxa"/>
            <w:vMerge w:val="continue"/>
            <w:shd w:val="clear" w:color="auto" w:fill="FFFFFF"/>
            <w:vAlign w:val="center"/>
          </w:tcPr>
          <w:p w14:paraId="73FD1B5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7EA9173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6091" w:type="dxa"/>
            <w:shd w:val="clear" w:color="auto" w:fill="FFFFFF"/>
            <w:tcMar>
              <w:top w:w="0" w:type="dxa"/>
              <w:left w:w="108" w:type="dxa"/>
              <w:bottom w:w="0" w:type="dxa"/>
              <w:right w:w="108" w:type="dxa"/>
            </w:tcMar>
            <w:vAlign w:val="center"/>
          </w:tcPr>
          <w:p w14:paraId="7840192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每月清洁。</w:t>
            </w:r>
          </w:p>
        </w:tc>
      </w:tr>
      <w:tr w14:paraId="2AD13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restart"/>
            <w:shd w:val="clear" w:color="auto" w:fill="FFFFFF"/>
            <w:tcMar>
              <w:top w:w="0" w:type="dxa"/>
              <w:left w:w="108" w:type="dxa"/>
              <w:bottom w:w="0" w:type="dxa"/>
              <w:right w:w="108" w:type="dxa"/>
            </w:tcMar>
            <w:vAlign w:val="center"/>
          </w:tcPr>
          <w:p w14:paraId="0635AA8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w:t>
            </w:r>
          </w:p>
          <w:p w14:paraId="52D8C4B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防范</w:t>
            </w:r>
          </w:p>
        </w:tc>
        <w:tc>
          <w:tcPr>
            <w:tcW w:w="2077" w:type="dxa"/>
            <w:shd w:val="clear" w:color="auto" w:fill="FFFFFF"/>
            <w:tcMar>
              <w:top w:w="0" w:type="dxa"/>
              <w:left w:w="108" w:type="dxa"/>
              <w:bottom w:w="0" w:type="dxa"/>
              <w:right w:w="108" w:type="dxa"/>
            </w:tcMar>
            <w:vAlign w:val="center"/>
          </w:tcPr>
          <w:p w14:paraId="5F117E8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6091" w:type="dxa"/>
            <w:shd w:val="clear" w:color="auto" w:fill="FFFFFF"/>
            <w:tcMar>
              <w:top w:w="0" w:type="dxa"/>
              <w:left w:w="108" w:type="dxa"/>
              <w:bottom w:w="0" w:type="dxa"/>
              <w:right w:w="108" w:type="dxa"/>
            </w:tcMar>
            <w:vAlign w:val="center"/>
          </w:tcPr>
          <w:p w14:paraId="2044B15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1、专职保安人员，以中青年为主，45周岁以下的人员占总数50%以上，身体健康，工作认真负责并定期接受培训。</w:t>
            </w:r>
          </w:p>
          <w:p w14:paraId="5F68629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2、能处理和应对小区公共秩序维护工作，能正确使用各类消防、物防、技防器械和设备，能够熟悉、掌握各类刑事、治安案件和各类灾害事故的应急预案。</w:t>
            </w:r>
          </w:p>
          <w:p w14:paraId="3CF1438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3、上岗时佩带统一标志，穿戴统一制服（精致），装备佩戴规范，仪容仪表规范整齐，当值时坐姿挺直，站岗时不倚不靠。</w:t>
            </w:r>
          </w:p>
          <w:p w14:paraId="3501E08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4、配备对讲装置和其他必备的安全护卫器械。</w:t>
            </w:r>
          </w:p>
        </w:tc>
      </w:tr>
      <w:tr w14:paraId="0173A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18A49F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68224C7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6091" w:type="dxa"/>
            <w:shd w:val="clear" w:color="auto" w:fill="FFFFFF"/>
            <w:tcMar>
              <w:top w:w="0" w:type="dxa"/>
              <w:left w:w="108" w:type="dxa"/>
              <w:bottom w:w="0" w:type="dxa"/>
              <w:right w:w="108" w:type="dxa"/>
            </w:tcMar>
            <w:vAlign w:val="center"/>
          </w:tcPr>
          <w:p w14:paraId="042C109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1、主出入口24小时值班看守，至少2人值守，立岗时间不低于8小时，并有详细交接班记录和外来车辆的登记记录。</w:t>
            </w:r>
          </w:p>
          <w:p w14:paraId="257B76A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2、对进出小区的车辆进行管理和疏导，保持出入口环境整洁、有序、道路畅通；对大型物件搬出实行记录。</w:t>
            </w:r>
          </w:p>
        </w:tc>
      </w:tr>
      <w:tr w14:paraId="0B93C8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6EE97F2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305720E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6091" w:type="dxa"/>
            <w:shd w:val="clear" w:color="auto" w:fill="FFFFFF"/>
            <w:tcMar>
              <w:top w:w="0" w:type="dxa"/>
              <w:left w:w="108" w:type="dxa"/>
              <w:bottom w:w="0" w:type="dxa"/>
              <w:right w:w="108" w:type="dxa"/>
            </w:tcMar>
            <w:vAlign w:val="center"/>
          </w:tcPr>
          <w:p w14:paraId="7BD5117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保安人员按指定的时间和路线每2小时巡查1次，重点部位（小区道路、单元出入口、楼层和地下车库），监控中心有巡更记录。</w:t>
            </w:r>
          </w:p>
        </w:tc>
      </w:tr>
      <w:tr w14:paraId="09DEC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89" w:type="dxa"/>
            <w:vMerge w:val="continue"/>
            <w:shd w:val="clear" w:color="auto" w:fill="FFFFFF"/>
            <w:vAlign w:val="center"/>
          </w:tcPr>
          <w:p w14:paraId="3BA5A95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2C5B79A5">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技防设施和救助</w:t>
            </w:r>
          </w:p>
          <w:p w14:paraId="6BFD2AC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（监控岗）</w:t>
            </w:r>
          </w:p>
        </w:tc>
        <w:tc>
          <w:tcPr>
            <w:tcW w:w="6091" w:type="dxa"/>
            <w:shd w:val="clear" w:color="auto" w:fill="FFFFFF"/>
            <w:tcMar>
              <w:top w:w="0" w:type="dxa"/>
              <w:left w:w="108" w:type="dxa"/>
              <w:bottom w:w="0" w:type="dxa"/>
              <w:right w:w="108" w:type="dxa"/>
            </w:tcMar>
            <w:vAlign w:val="center"/>
          </w:tcPr>
          <w:p w14:paraId="3E8FA62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设有监控中心，应具备录像监控（监控点至少覆盖单元进出口、小区主要道路出入口）、楼宇对讲（可视）、周界报警（全封闭）、门锁智能卡等技防设施，24小时开通，并有人驻守，注视各设备所传达的信息。</w:t>
            </w:r>
          </w:p>
          <w:p w14:paraId="6628817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2、监控中心接到报警信号后，保安人员应立即赶到现场进行处理。</w:t>
            </w:r>
          </w:p>
          <w:p w14:paraId="4701FC5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3、小区应有火警、水警、警情应急预案，并在监控中心控制室内悬挂；每年应组织不少于1次的应急预案演习。</w:t>
            </w:r>
          </w:p>
        </w:tc>
      </w:tr>
      <w:tr w14:paraId="4DDFA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189" w:type="dxa"/>
            <w:vMerge w:val="continue"/>
            <w:shd w:val="clear" w:color="auto" w:fill="FFFFFF"/>
            <w:vAlign w:val="center"/>
          </w:tcPr>
          <w:p w14:paraId="40DF06B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7" w:type="dxa"/>
            <w:shd w:val="clear" w:color="auto" w:fill="FFFFFF"/>
            <w:tcMar>
              <w:top w:w="0" w:type="dxa"/>
              <w:left w:w="108" w:type="dxa"/>
              <w:bottom w:w="0" w:type="dxa"/>
              <w:right w:w="108" w:type="dxa"/>
            </w:tcMar>
            <w:vAlign w:val="center"/>
          </w:tcPr>
          <w:p w14:paraId="1025C26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6091" w:type="dxa"/>
            <w:shd w:val="clear" w:color="auto" w:fill="FFFFFF"/>
            <w:tcMar>
              <w:top w:w="0" w:type="dxa"/>
              <w:left w:w="108" w:type="dxa"/>
              <w:bottom w:w="0" w:type="dxa"/>
              <w:right w:w="108" w:type="dxa"/>
            </w:tcMar>
            <w:vAlign w:val="center"/>
          </w:tcPr>
          <w:p w14:paraId="0B31A04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1、地面、墙面按车辆道路行驶要求设立指示牌和地标，车辆行驶有规定路线，车辆停放有序。</w:t>
            </w:r>
          </w:p>
          <w:p w14:paraId="1B50A8F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2、有专职人员24小时巡视和协助停车事宜。</w:t>
            </w:r>
          </w:p>
          <w:p w14:paraId="74420D3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3、收费管理的车库内配置道闸和录像监视，地面、墙面按车辆道路行驶要求设立指示牌和地标，照明、消防器械配置齐全。</w:t>
            </w:r>
          </w:p>
        </w:tc>
      </w:tr>
    </w:tbl>
    <w:p w14:paraId="6D929E83">
      <w:pPr>
        <w:widowControl/>
        <w:snapToGrid w:val="0"/>
        <w:spacing w:line="560" w:lineRule="exact"/>
        <w:ind w:firstLine="308" w:firstLineChars="128"/>
        <w:jc w:val="center"/>
        <w:rPr>
          <w:rFonts w:ascii="方正仿宋_GBK" w:hAnsi="Times New Roman" w:eastAsia="方正仿宋_GBK"/>
          <w:b/>
          <w:color w:val="000000"/>
          <w:kern w:val="0"/>
          <w:sz w:val="24"/>
          <w:szCs w:val="24"/>
        </w:rPr>
      </w:pPr>
    </w:p>
    <w:p w14:paraId="30C55C51">
      <w:pPr>
        <w:widowControl/>
        <w:snapToGrid w:val="0"/>
        <w:spacing w:line="560" w:lineRule="exact"/>
        <w:ind w:firstLine="411" w:firstLineChars="128"/>
        <w:jc w:val="center"/>
        <w:rPr>
          <w:rFonts w:ascii="Times New Roman" w:hAnsi="Times New Roman"/>
          <w:b/>
          <w:color w:val="000000"/>
          <w:kern w:val="0"/>
          <w:sz w:val="32"/>
          <w:szCs w:val="32"/>
        </w:rPr>
      </w:pPr>
    </w:p>
    <w:p w14:paraId="314C0872">
      <w:pPr>
        <w:widowControl/>
        <w:snapToGrid w:val="0"/>
        <w:spacing w:line="560" w:lineRule="exact"/>
        <w:ind w:firstLine="411" w:firstLineChars="128"/>
        <w:jc w:val="center"/>
        <w:rPr>
          <w:rFonts w:ascii="Times New Roman" w:hAnsi="Times New Roman"/>
          <w:b/>
          <w:color w:val="000000"/>
          <w:kern w:val="0"/>
          <w:sz w:val="32"/>
          <w:szCs w:val="32"/>
        </w:rPr>
      </w:pPr>
    </w:p>
    <w:p w14:paraId="5AC8831D">
      <w:pPr>
        <w:widowControl/>
        <w:snapToGrid w:val="0"/>
        <w:spacing w:line="560" w:lineRule="exact"/>
        <w:ind w:firstLine="411" w:firstLineChars="128"/>
        <w:jc w:val="center"/>
        <w:rPr>
          <w:rFonts w:ascii="Times New Roman" w:hAnsi="Times New Roman"/>
          <w:b/>
          <w:color w:val="000000"/>
          <w:kern w:val="0"/>
          <w:sz w:val="32"/>
          <w:szCs w:val="32"/>
        </w:rPr>
      </w:pPr>
    </w:p>
    <w:p w14:paraId="299DA239">
      <w:pPr>
        <w:widowControl/>
        <w:snapToGrid w:val="0"/>
        <w:spacing w:line="560" w:lineRule="exact"/>
        <w:ind w:firstLine="411" w:firstLineChars="128"/>
        <w:jc w:val="center"/>
        <w:rPr>
          <w:rFonts w:ascii="Times New Roman" w:hAnsi="Times New Roman"/>
          <w:b/>
          <w:color w:val="000000"/>
          <w:kern w:val="0"/>
          <w:sz w:val="32"/>
          <w:szCs w:val="32"/>
        </w:rPr>
      </w:pPr>
    </w:p>
    <w:p w14:paraId="0EEC358E">
      <w:pPr>
        <w:widowControl/>
        <w:snapToGrid w:val="0"/>
        <w:spacing w:line="560" w:lineRule="exact"/>
        <w:ind w:firstLine="411" w:firstLineChars="128"/>
        <w:jc w:val="center"/>
        <w:rPr>
          <w:rFonts w:ascii="Times New Roman" w:hAnsi="Times New Roman"/>
          <w:b/>
          <w:color w:val="000000"/>
          <w:kern w:val="0"/>
          <w:sz w:val="32"/>
          <w:szCs w:val="32"/>
        </w:rPr>
      </w:pPr>
    </w:p>
    <w:p w14:paraId="4964A07E">
      <w:pPr>
        <w:widowControl/>
        <w:snapToGrid w:val="0"/>
        <w:spacing w:line="560" w:lineRule="exact"/>
        <w:ind w:firstLine="411" w:firstLineChars="128"/>
        <w:jc w:val="center"/>
        <w:rPr>
          <w:rFonts w:ascii="Times New Roman" w:hAnsi="Times New Roman"/>
          <w:b/>
          <w:color w:val="000000"/>
          <w:kern w:val="0"/>
          <w:sz w:val="32"/>
          <w:szCs w:val="32"/>
        </w:rPr>
      </w:pPr>
    </w:p>
    <w:p w14:paraId="0989ECAF">
      <w:pPr>
        <w:widowControl/>
        <w:snapToGrid w:val="0"/>
        <w:spacing w:line="560" w:lineRule="exact"/>
        <w:ind w:firstLine="411" w:firstLineChars="128"/>
        <w:jc w:val="center"/>
        <w:rPr>
          <w:rFonts w:ascii="Times New Roman" w:hAnsi="Times New Roman"/>
          <w:b/>
          <w:color w:val="000000"/>
          <w:kern w:val="0"/>
          <w:sz w:val="32"/>
          <w:szCs w:val="32"/>
        </w:rPr>
      </w:pPr>
    </w:p>
    <w:p w14:paraId="7F5BBF10">
      <w:pPr>
        <w:widowControl/>
        <w:snapToGrid w:val="0"/>
        <w:spacing w:line="560" w:lineRule="exact"/>
        <w:ind w:firstLine="411" w:firstLineChars="128"/>
        <w:jc w:val="center"/>
        <w:rPr>
          <w:rFonts w:ascii="Times New Roman" w:hAnsi="Times New Roman"/>
          <w:b/>
          <w:color w:val="000000"/>
          <w:kern w:val="0"/>
          <w:sz w:val="32"/>
          <w:szCs w:val="32"/>
        </w:rPr>
      </w:pPr>
    </w:p>
    <w:p w14:paraId="214C04E8">
      <w:pPr>
        <w:widowControl/>
        <w:snapToGrid w:val="0"/>
        <w:spacing w:line="560" w:lineRule="exact"/>
        <w:ind w:firstLine="411" w:firstLineChars="128"/>
        <w:jc w:val="center"/>
        <w:rPr>
          <w:rFonts w:ascii="Times New Roman" w:hAnsi="Times New Roman"/>
          <w:b/>
          <w:color w:val="000000"/>
          <w:kern w:val="0"/>
          <w:sz w:val="32"/>
          <w:szCs w:val="32"/>
        </w:rPr>
      </w:pPr>
    </w:p>
    <w:p w14:paraId="427835FA">
      <w:pPr>
        <w:widowControl/>
        <w:snapToGrid w:val="0"/>
        <w:spacing w:line="560" w:lineRule="exact"/>
        <w:ind w:firstLine="411" w:firstLineChars="128"/>
        <w:jc w:val="center"/>
        <w:rPr>
          <w:rFonts w:ascii="Times New Roman" w:hAnsi="Times New Roman"/>
          <w:b/>
          <w:color w:val="000000"/>
          <w:kern w:val="0"/>
          <w:sz w:val="32"/>
          <w:szCs w:val="32"/>
        </w:rPr>
      </w:pPr>
    </w:p>
    <w:p w14:paraId="4D3DE3BD">
      <w:pPr>
        <w:widowControl/>
        <w:snapToGrid w:val="0"/>
        <w:spacing w:line="560" w:lineRule="exact"/>
        <w:ind w:firstLine="411" w:firstLineChars="128"/>
        <w:jc w:val="center"/>
        <w:rPr>
          <w:rFonts w:ascii="Times New Roman" w:hAnsi="Times New Roman"/>
          <w:b/>
          <w:color w:val="000000"/>
          <w:kern w:val="0"/>
          <w:sz w:val="32"/>
          <w:szCs w:val="32"/>
        </w:rPr>
      </w:pPr>
    </w:p>
    <w:p w14:paraId="57EA1143">
      <w:pPr>
        <w:widowControl/>
        <w:snapToGrid w:val="0"/>
        <w:spacing w:line="560" w:lineRule="exact"/>
        <w:ind w:firstLine="411" w:firstLineChars="128"/>
        <w:jc w:val="center"/>
        <w:rPr>
          <w:rFonts w:ascii="Times New Roman" w:hAnsi="Times New Roman"/>
          <w:b/>
          <w:color w:val="000000"/>
          <w:kern w:val="0"/>
          <w:sz w:val="32"/>
          <w:szCs w:val="32"/>
        </w:rPr>
      </w:pPr>
    </w:p>
    <w:p w14:paraId="50047CC5">
      <w:pPr>
        <w:widowControl/>
        <w:snapToGrid w:val="0"/>
        <w:spacing w:line="560" w:lineRule="exact"/>
        <w:ind w:firstLine="411" w:firstLineChars="128"/>
        <w:jc w:val="center"/>
        <w:rPr>
          <w:rFonts w:ascii="Times New Roman" w:hAnsi="Times New Roman"/>
          <w:b/>
          <w:color w:val="000000"/>
          <w:kern w:val="0"/>
          <w:sz w:val="32"/>
          <w:szCs w:val="32"/>
        </w:rPr>
      </w:pPr>
    </w:p>
    <w:p w14:paraId="5012A4DA">
      <w:pPr>
        <w:widowControl/>
        <w:snapToGrid w:val="0"/>
        <w:spacing w:line="560" w:lineRule="exact"/>
        <w:ind w:firstLine="411" w:firstLineChars="128"/>
        <w:jc w:val="center"/>
        <w:rPr>
          <w:rFonts w:ascii="Times New Roman" w:hAnsi="Times New Roman"/>
          <w:b/>
          <w:color w:val="000000"/>
          <w:kern w:val="0"/>
          <w:sz w:val="32"/>
          <w:szCs w:val="32"/>
        </w:rPr>
      </w:pPr>
    </w:p>
    <w:p w14:paraId="29B5691F">
      <w:pPr>
        <w:widowControl/>
        <w:snapToGrid w:val="0"/>
        <w:spacing w:line="560" w:lineRule="exact"/>
        <w:ind w:firstLine="411" w:firstLineChars="128"/>
        <w:jc w:val="center"/>
        <w:rPr>
          <w:rFonts w:ascii="Times New Roman" w:hAnsi="Times New Roman"/>
          <w:b/>
          <w:color w:val="000000"/>
          <w:kern w:val="0"/>
          <w:sz w:val="32"/>
          <w:szCs w:val="32"/>
        </w:rPr>
      </w:pPr>
    </w:p>
    <w:p w14:paraId="3EDD6A10">
      <w:pPr>
        <w:widowControl/>
        <w:snapToGrid w:val="0"/>
        <w:spacing w:line="560" w:lineRule="exact"/>
        <w:ind w:firstLine="411" w:firstLineChars="128"/>
        <w:jc w:val="center"/>
        <w:rPr>
          <w:rFonts w:ascii="Times New Roman" w:hAnsi="Times New Roman"/>
          <w:b/>
          <w:color w:val="000000"/>
          <w:kern w:val="0"/>
          <w:sz w:val="32"/>
          <w:szCs w:val="32"/>
        </w:rPr>
      </w:pPr>
    </w:p>
    <w:p w14:paraId="407E2FEB">
      <w:pPr>
        <w:widowControl/>
        <w:snapToGrid w:val="0"/>
        <w:spacing w:line="560" w:lineRule="exact"/>
        <w:ind w:firstLine="411" w:firstLineChars="128"/>
        <w:jc w:val="center"/>
        <w:rPr>
          <w:rFonts w:ascii="Times New Roman" w:hAnsi="Times New Roman"/>
          <w:b/>
          <w:color w:val="000000"/>
          <w:kern w:val="0"/>
          <w:sz w:val="32"/>
          <w:szCs w:val="32"/>
        </w:rPr>
      </w:pPr>
    </w:p>
    <w:p w14:paraId="27B986B0">
      <w:pPr>
        <w:widowControl/>
        <w:snapToGrid w:val="0"/>
        <w:spacing w:line="560" w:lineRule="exact"/>
        <w:ind w:firstLine="411" w:firstLineChars="128"/>
        <w:jc w:val="center"/>
        <w:rPr>
          <w:rFonts w:ascii="Times New Roman" w:hAnsi="Times New Roman"/>
          <w:b/>
          <w:color w:val="000000"/>
          <w:kern w:val="0"/>
          <w:sz w:val="32"/>
          <w:szCs w:val="32"/>
        </w:rPr>
      </w:pPr>
    </w:p>
    <w:p w14:paraId="33CC45A5">
      <w:pPr>
        <w:widowControl/>
        <w:snapToGrid w:val="0"/>
        <w:spacing w:line="560" w:lineRule="exact"/>
        <w:ind w:left="0" w:leftChars="0" w:firstLine="0" w:firstLineChars="0"/>
        <w:jc w:val="both"/>
        <w:rPr>
          <w:rFonts w:ascii="Times New Roman" w:hAnsi="Times New Roman"/>
          <w:b/>
          <w:color w:val="000000"/>
          <w:kern w:val="0"/>
          <w:sz w:val="32"/>
          <w:szCs w:val="32"/>
        </w:rPr>
      </w:pPr>
    </w:p>
    <w:p w14:paraId="3B919413">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宜兴市普通住宅物业服务等级七级服务标准</w:t>
      </w:r>
    </w:p>
    <w:p w14:paraId="27C617BC">
      <w:pPr>
        <w:widowControl/>
        <w:snapToGrid w:val="0"/>
        <w:spacing w:line="480" w:lineRule="exact"/>
        <w:ind w:firstLine="307" w:firstLineChars="128"/>
        <w:jc w:val="center"/>
        <w:rPr>
          <w:rFonts w:ascii="Times New Roman" w:hAnsi="Times New Roman"/>
          <w:color w:val="000000"/>
          <w:kern w:val="0"/>
          <w:sz w:val="24"/>
        </w:rPr>
      </w:pPr>
      <w:r>
        <w:rPr>
          <w:rFonts w:ascii="Times New Roman" w:hAnsi="Times New Roman"/>
          <w:color w:val="000000"/>
          <w:kern w:val="0"/>
          <w:sz w:val="24"/>
        </w:rPr>
        <w:t>(指导价2.30元/㎡·月，不含电梯运行维护费、公共能耗费)</w:t>
      </w:r>
    </w:p>
    <w:p w14:paraId="12404F9B">
      <w:pPr>
        <w:widowControl/>
        <w:snapToGrid w:val="0"/>
        <w:spacing w:line="480" w:lineRule="exact"/>
        <w:ind w:firstLine="307" w:firstLineChars="128"/>
        <w:jc w:val="center"/>
        <w:rPr>
          <w:rFonts w:ascii="Times New Roman" w:hAnsi="Times New Roman"/>
          <w:color w:val="000000"/>
          <w:kern w:val="0"/>
          <w:sz w:val="24"/>
        </w:rPr>
      </w:pP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18"/>
        <w:gridCol w:w="2075"/>
        <w:gridCol w:w="6155"/>
      </w:tblGrid>
      <w:tr w14:paraId="5D1B1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118" w:type="dxa"/>
            <w:shd w:val="clear" w:color="auto" w:fill="FFFFFF"/>
            <w:tcMar>
              <w:top w:w="0" w:type="dxa"/>
              <w:left w:w="108" w:type="dxa"/>
              <w:bottom w:w="0" w:type="dxa"/>
              <w:right w:w="108" w:type="dxa"/>
            </w:tcMar>
            <w:vAlign w:val="center"/>
          </w:tcPr>
          <w:p w14:paraId="275A992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项目</w:t>
            </w:r>
          </w:p>
        </w:tc>
        <w:tc>
          <w:tcPr>
            <w:tcW w:w="2075" w:type="dxa"/>
            <w:shd w:val="clear" w:color="auto" w:fill="FFFFFF"/>
            <w:tcMar>
              <w:top w:w="0" w:type="dxa"/>
              <w:left w:w="108" w:type="dxa"/>
              <w:bottom w:w="0" w:type="dxa"/>
              <w:right w:w="108" w:type="dxa"/>
            </w:tcMar>
            <w:vAlign w:val="center"/>
          </w:tcPr>
          <w:p w14:paraId="16EC882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内容</w:t>
            </w:r>
          </w:p>
        </w:tc>
        <w:tc>
          <w:tcPr>
            <w:tcW w:w="6155" w:type="dxa"/>
            <w:shd w:val="clear" w:color="auto" w:fill="FFFFFF"/>
            <w:tcMar>
              <w:top w:w="0" w:type="dxa"/>
              <w:left w:w="108" w:type="dxa"/>
              <w:bottom w:w="0" w:type="dxa"/>
              <w:right w:w="108" w:type="dxa"/>
            </w:tcMar>
            <w:vAlign w:val="center"/>
          </w:tcPr>
          <w:p w14:paraId="74CC7908">
            <w:pPr>
              <w:widowControl/>
              <w:snapToGrid w:val="0"/>
              <w:spacing w:line="400" w:lineRule="exact"/>
              <w:ind w:firstLine="48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基本标准</w:t>
            </w:r>
          </w:p>
        </w:tc>
      </w:tr>
      <w:tr w14:paraId="6FA88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restart"/>
            <w:shd w:val="clear" w:color="auto" w:fill="FFFFFF"/>
            <w:tcMar>
              <w:top w:w="0" w:type="dxa"/>
              <w:left w:w="108" w:type="dxa"/>
              <w:bottom w:w="0" w:type="dxa"/>
              <w:right w:w="108" w:type="dxa"/>
            </w:tcMar>
            <w:vAlign w:val="center"/>
          </w:tcPr>
          <w:p w14:paraId="06902DD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综合</w:t>
            </w:r>
          </w:p>
          <w:p w14:paraId="30847E9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w:t>
            </w:r>
          </w:p>
        </w:tc>
        <w:tc>
          <w:tcPr>
            <w:tcW w:w="2075" w:type="dxa"/>
            <w:shd w:val="clear" w:color="auto" w:fill="FFFFFF"/>
            <w:tcMar>
              <w:top w:w="0" w:type="dxa"/>
              <w:left w:w="108" w:type="dxa"/>
              <w:bottom w:w="0" w:type="dxa"/>
              <w:right w:w="108" w:type="dxa"/>
            </w:tcMar>
            <w:vAlign w:val="center"/>
          </w:tcPr>
          <w:p w14:paraId="1DD37239">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管理处设置</w:t>
            </w:r>
          </w:p>
        </w:tc>
        <w:tc>
          <w:tcPr>
            <w:tcW w:w="6155" w:type="dxa"/>
            <w:shd w:val="clear" w:color="auto" w:fill="FFFFFF"/>
            <w:tcMar>
              <w:top w:w="0" w:type="dxa"/>
              <w:left w:w="108" w:type="dxa"/>
              <w:bottom w:w="0" w:type="dxa"/>
              <w:right w:w="108" w:type="dxa"/>
            </w:tcMar>
            <w:vAlign w:val="center"/>
          </w:tcPr>
          <w:p w14:paraId="7F6FE5A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1、小区内设置管理处。</w:t>
            </w:r>
          </w:p>
          <w:p w14:paraId="3006E0C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2、每3万平方米建筑面积至少配备1个客服接待点或区域，有专人提供不少于10小时的客户服务。</w:t>
            </w:r>
          </w:p>
          <w:p w14:paraId="6892671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3、配置办公家具、电话、传真机、复印机、电脑、打印机、网络等办公设施及办公用品。</w:t>
            </w:r>
          </w:p>
        </w:tc>
      </w:tr>
      <w:tr w14:paraId="6BA4D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1587C2F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7418AD1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6155" w:type="dxa"/>
            <w:shd w:val="clear" w:color="auto" w:fill="FFFFFF"/>
            <w:tcMar>
              <w:top w:w="0" w:type="dxa"/>
              <w:left w:w="108" w:type="dxa"/>
              <w:bottom w:w="0" w:type="dxa"/>
              <w:right w:w="108" w:type="dxa"/>
            </w:tcMar>
            <w:vAlign w:val="center"/>
          </w:tcPr>
          <w:p w14:paraId="2449927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1、小区经理有物业管理员上岗证和项目经理上岗证，有2年以上小区经理任职经历。</w:t>
            </w:r>
          </w:p>
          <w:p w14:paraId="5C7CE4D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2、管理人员服装统一，挂牌上岗，仪表整洁规范。</w:t>
            </w:r>
          </w:p>
          <w:p w14:paraId="28A4B12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3、适当配备具有外语会话能力的管理人员。</w:t>
            </w:r>
          </w:p>
        </w:tc>
      </w:tr>
      <w:tr w14:paraId="64D46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0EE6CFC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5065C99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服务时间</w:t>
            </w:r>
          </w:p>
        </w:tc>
        <w:tc>
          <w:tcPr>
            <w:tcW w:w="6155" w:type="dxa"/>
            <w:shd w:val="clear" w:color="auto" w:fill="FFFFFF"/>
            <w:tcMar>
              <w:top w:w="0" w:type="dxa"/>
              <w:left w:w="108" w:type="dxa"/>
              <w:bottom w:w="0" w:type="dxa"/>
              <w:right w:w="108" w:type="dxa"/>
            </w:tcMar>
            <w:vAlign w:val="center"/>
          </w:tcPr>
          <w:p w14:paraId="117CFB5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管理处周一至周日每天12小时业务接待，并提供服务。</w:t>
            </w:r>
          </w:p>
        </w:tc>
      </w:tr>
      <w:tr w14:paraId="5E215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c>
          <w:tcPr>
            <w:tcW w:w="1118" w:type="dxa"/>
            <w:vMerge w:val="continue"/>
            <w:shd w:val="clear" w:color="auto" w:fill="FFFFFF"/>
            <w:vAlign w:val="center"/>
          </w:tcPr>
          <w:p w14:paraId="354B5AD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035C196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日常服务</w:t>
            </w:r>
          </w:p>
        </w:tc>
        <w:tc>
          <w:tcPr>
            <w:tcW w:w="6155" w:type="dxa"/>
            <w:shd w:val="clear" w:color="auto" w:fill="FFFFFF"/>
            <w:tcMar>
              <w:top w:w="0" w:type="dxa"/>
              <w:left w:w="108" w:type="dxa"/>
              <w:bottom w:w="0" w:type="dxa"/>
              <w:right w:w="108" w:type="dxa"/>
            </w:tcMar>
            <w:vAlign w:val="center"/>
          </w:tcPr>
          <w:p w14:paraId="27B4E24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1、24小时受理业主或使用人报修。急修半小时内到现场处理，一般修理1天内完成（预约除外）。</w:t>
            </w:r>
          </w:p>
          <w:p w14:paraId="0662E6C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2、对业主或使用人的投诉在24小时内答复处理。</w:t>
            </w:r>
          </w:p>
          <w:p w14:paraId="3A15039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3、公示服务标准和收费标准，每半年向业主公布财务状况1次，公共水电费能耗分摊每季向业主公布1次。</w:t>
            </w:r>
          </w:p>
          <w:p w14:paraId="2E4EAE7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4、制定小区物业服务年度和月度工作计划并组织实施，每月向委托方报告1次计划实施情况。</w:t>
            </w:r>
          </w:p>
          <w:p w14:paraId="736CAD9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5、制定小区房屋装修申请、审批、巡视、验收等装修管理制度，建立业主或使用人房屋装修档案，对不符合规定的行为、现象及时劝阻、制止或报告。</w:t>
            </w:r>
          </w:p>
          <w:p w14:paraId="1C0CE90C">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6、可采取走访、恳谈会、问卷调查、通讯等多种形式与业主或使用人进行沟通，每年的沟通面不低于小区住户的80%。</w:t>
            </w:r>
          </w:p>
          <w:p w14:paraId="20896336">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7、运用计算机进行管理（含业主档案、收费管理、设备管理等）。</w:t>
            </w:r>
          </w:p>
          <w:p w14:paraId="4A3F303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8、能提供三种以上特约服务（有偿）和三种以上便民（无偿）服务；节假日有专题布置，每年组织2次以上的社区活动。</w:t>
            </w:r>
          </w:p>
        </w:tc>
      </w:tr>
      <w:tr w14:paraId="4398D6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restart"/>
            <w:shd w:val="clear" w:color="auto" w:fill="FFFFFF"/>
            <w:tcMar>
              <w:top w:w="0" w:type="dxa"/>
              <w:left w:w="108" w:type="dxa"/>
              <w:bottom w:w="0" w:type="dxa"/>
              <w:right w:w="108" w:type="dxa"/>
            </w:tcMar>
            <w:vAlign w:val="center"/>
          </w:tcPr>
          <w:p w14:paraId="7818AFB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清洁</w:t>
            </w:r>
          </w:p>
          <w:p w14:paraId="733FB0FA">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管理</w:t>
            </w:r>
          </w:p>
        </w:tc>
        <w:tc>
          <w:tcPr>
            <w:tcW w:w="2075" w:type="dxa"/>
            <w:shd w:val="clear" w:color="auto" w:fill="FFFFFF"/>
            <w:tcMar>
              <w:top w:w="0" w:type="dxa"/>
              <w:left w:w="108" w:type="dxa"/>
              <w:bottom w:w="0" w:type="dxa"/>
              <w:right w:w="108" w:type="dxa"/>
            </w:tcMar>
            <w:vAlign w:val="center"/>
          </w:tcPr>
          <w:p w14:paraId="0ACEA63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共用楼道保洁</w:t>
            </w:r>
          </w:p>
        </w:tc>
        <w:tc>
          <w:tcPr>
            <w:tcW w:w="6155" w:type="dxa"/>
            <w:shd w:val="clear" w:color="auto" w:fill="FFFFFF"/>
            <w:tcMar>
              <w:top w:w="0" w:type="dxa"/>
              <w:left w:w="108" w:type="dxa"/>
              <w:bottom w:w="0" w:type="dxa"/>
              <w:right w:w="108" w:type="dxa"/>
            </w:tcMar>
            <w:vAlign w:val="center"/>
          </w:tcPr>
          <w:p w14:paraId="7167AB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打扫、拖洗1次各楼层通道和楼梯台阶，擦拭1次楼梯扶手，水磨石地面和水泥地面每周刷洗1次，大理石地面每季度打蜡1次、每半年抛光1次，每日清理1次电梯口和通道摆放的烟灰缸内垃圾和烟头，每日擦拭1次公共设施，每周擦拭1次楼梯道墙面，每周顶面除尘1次。</w:t>
            </w:r>
          </w:p>
        </w:tc>
      </w:tr>
      <w:tr w14:paraId="3E300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20A242E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06066070">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电梯及电梯厅保洁</w:t>
            </w:r>
          </w:p>
        </w:tc>
        <w:tc>
          <w:tcPr>
            <w:tcW w:w="6155" w:type="dxa"/>
            <w:shd w:val="clear" w:color="auto" w:fill="FFFFFF"/>
            <w:tcMar>
              <w:top w:w="0" w:type="dxa"/>
              <w:left w:w="108" w:type="dxa"/>
              <w:bottom w:w="0" w:type="dxa"/>
              <w:right w:w="108" w:type="dxa"/>
            </w:tcMar>
            <w:vAlign w:val="center"/>
          </w:tcPr>
          <w:p w14:paraId="76CF8CA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保持电梯轿厢清洁，白天循环对电梯厅进行清洁，每半月对电梯门壁打蜡上光1次。</w:t>
            </w:r>
          </w:p>
        </w:tc>
      </w:tr>
      <w:tr w14:paraId="4D4C3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55CC33B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7CF2932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共用卫生间保洁</w:t>
            </w:r>
          </w:p>
        </w:tc>
        <w:tc>
          <w:tcPr>
            <w:tcW w:w="6155" w:type="dxa"/>
            <w:shd w:val="clear" w:color="auto" w:fill="FFFFFF"/>
            <w:tcMar>
              <w:top w:w="0" w:type="dxa"/>
              <w:left w:w="108" w:type="dxa"/>
              <w:bottom w:w="0" w:type="dxa"/>
              <w:right w:w="108" w:type="dxa"/>
            </w:tcMar>
            <w:vAlign w:val="center"/>
          </w:tcPr>
          <w:p w14:paraId="6F49C74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每日清洁4次，消杀2次，有污渍水渍时及时清洁。</w:t>
            </w:r>
          </w:p>
        </w:tc>
      </w:tr>
      <w:tr w14:paraId="67785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02C3E7D8">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07B911B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停车场、共用车库或车棚保洁</w:t>
            </w:r>
          </w:p>
        </w:tc>
        <w:tc>
          <w:tcPr>
            <w:tcW w:w="6155" w:type="dxa"/>
            <w:shd w:val="clear" w:color="auto" w:fill="FFFFFF"/>
            <w:tcMar>
              <w:top w:w="0" w:type="dxa"/>
              <w:left w:w="108" w:type="dxa"/>
              <w:bottom w:w="0" w:type="dxa"/>
              <w:right w:w="108" w:type="dxa"/>
            </w:tcMar>
            <w:vAlign w:val="center"/>
          </w:tcPr>
          <w:p w14:paraId="0576CB7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每日清扫保洁1次车库，每月清扫1次地下室管线，每月进行2次地下室消杀工作。</w:t>
            </w:r>
          </w:p>
        </w:tc>
      </w:tr>
      <w:tr w14:paraId="0DFCF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4011190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2CDCF2F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绿化带、道路保洁</w:t>
            </w:r>
          </w:p>
        </w:tc>
        <w:tc>
          <w:tcPr>
            <w:tcW w:w="6155" w:type="dxa"/>
            <w:shd w:val="clear" w:color="auto" w:fill="FFFFFF"/>
            <w:tcMar>
              <w:top w:w="0" w:type="dxa"/>
              <w:left w:w="108" w:type="dxa"/>
              <w:bottom w:w="0" w:type="dxa"/>
              <w:right w:w="108" w:type="dxa"/>
            </w:tcMar>
            <w:vAlign w:val="center"/>
          </w:tcPr>
          <w:p w14:paraId="47280AC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每日清扫1次，巡视保洁，绿化带、道路无杂物、垃圾。</w:t>
            </w:r>
          </w:p>
        </w:tc>
      </w:tr>
      <w:tr w14:paraId="5AF49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7C11691D">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785252D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标识、宣传牌、信报箱保洁</w:t>
            </w:r>
          </w:p>
        </w:tc>
        <w:tc>
          <w:tcPr>
            <w:tcW w:w="6155" w:type="dxa"/>
            <w:shd w:val="clear" w:color="auto" w:fill="FFFFFF"/>
            <w:tcMar>
              <w:top w:w="0" w:type="dxa"/>
              <w:left w:w="108" w:type="dxa"/>
              <w:bottom w:w="0" w:type="dxa"/>
              <w:right w:w="108" w:type="dxa"/>
            </w:tcMar>
            <w:vAlign w:val="center"/>
          </w:tcPr>
          <w:p w14:paraId="616E57C4">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标识、宣传牌每日擦拭1次，雕塑、信报箱每周擦拭1次。</w:t>
            </w:r>
          </w:p>
        </w:tc>
      </w:tr>
      <w:tr w14:paraId="16F52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25D2553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3192A0A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休闲、娱乐、健身设施</w:t>
            </w:r>
          </w:p>
        </w:tc>
        <w:tc>
          <w:tcPr>
            <w:tcW w:w="6155" w:type="dxa"/>
            <w:shd w:val="clear" w:color="auto" w:fill="FFFFFF"/>
            <w:tcMar>
              <w:top w:w="0" w:type="dxa"/>
              <w:left w:w="108" w:type="dxa"/>
              <w:bottom w:w="0" w:type="dxa"/>
              <w:right w:w="108" w:type="dxa"/>
            </w:tcMar>
            <w:vAlign w:val="center"/>
          </w:tcPr>
          <w:p w14:paraId="05CB2AB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每日清洁1次。</w:t>
            </w:r>
          </w:p>
        </w:tc>
      </w:tr>
      <w:tr w14:paraId="41642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252AE0A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3CFE85E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门卫、岗亭、监控探头保洁</w:t>
            </w:r>
          </w:p>
        </w:tc>
        <w:tc>
          <w:tcPr>
            <w:tcW w:w="6155" w:type="dxa"/>
            <w:shd w:val="clear" w:color="auto" w:fill="FFFFFF"/>
            <w:tcMar>
              <w:top w:w="0" w:type="dxa"/>
              <w:left w:w="108" w:type="dxa"/>
              <w:bottom w:w="0" w:type="dxa"/>
              <w:right w:w="108" w:type="dxa"/>
            </w:tcMar>
            <w:vAlign w:val="center"/>
          </w:tcPr>
          <w:p w14:paraId="16C2D35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门卫、岗亭每日清洁2次，监控探头每月擦拭1次。</w:t>
            </w:r>
          </w:p>
        </w:tc>
      </w:tr>
      <w:tr w14:paraId="068AA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241DA63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3158FA1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垃圾桶、果皮箱</w:t>
            </w:r>
          </w:p>
        </w:tc>
        <w:tc>
          <w:tcPr>
            <w:tcW w:w="6155" w:type="dxa"/>
            <w:shd w:val="clear" w:color="auto" w:fill="FFFFFF"/>
            <w:tcMar>
              <w:top w:w="0" w:type="dxa"/>
              <w:left w:w="108" w:type="dxa"/>
              <w:bottom w:w="0" w:type="dxa"/>
              <w:right w:w="108" w:type="dxa"/>
            </w:tcMar>
            <w:vAlign w:val="center"/>
          </w:tcPr>
          <w:p w14:paraId="0591B3F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每日清运2次，每日擦拭1次，每周清洗2次。</w:t>
            </w:r>
          </w:p>
        </w:tc>
      </w:tr>
      <w:tr w14:paraId="7ED67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6BE6DA80">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16FE68D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垃圾收集与处理</w:t>
            </w:r>
          </w:p>
        </w:tc>
        <w:tc>
          <w:tcPr>
            <w:tcW w:w="6155" w:type="dxa"/>
            <w:shd w:val="clear" w:color="auto" w:fill="FFFFFF"/>
            <w:tcMar>
              <w:top w:w="0" w:type="dxa"/>
              <w:left w:w="108" w:type="dxa"/>
              <w:bottom w:w="0" w:type="dxa"/>
              <w:right w:w="108" w:type="dxa"/>
            </w:tcMar>
            <w:vAlign w:val="center"/>
          </w:tcPr>
          <w:p w14:paraId="39038BA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按楼层设置垃圾收集箱或点，每日早晚定时清理2次；垃圾收集箱或点周围地面无散落垃圾、无污迹、无异味，每日擦拭1次，每周清洗1次。</w:t>
            </w:r>
          </w:p>
        </w:tc>
      </w:tr>
      <w:tr w14:paraId="7C193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047F4D4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0A14E91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卫生消杀</w:t>
            </w:r>
          </w:p>
        </w:tc>
        <w:tc>
          <w:tcPr>
            <w:tcW w:w="6155" w:type="dxa"/>
            <w:shd w:val="clear" w:color="auto" w:fill="FFFFFF"/>
            <w:tcMar>
              <w:top w:w="0" w:type="dxa"/>
              <w:left w:w="108" w:type="dxa"/>
              <w:bottom w:w="0" w:type="dxa"/>
              <w:right w:w="108" w:type="dxa"/>
            </w:tcMar>
            <w:vAlign w:val="center"/>
          </w:tcPr>
          <w:p w14:paraId="0B44D73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灭鼠、灭蚊等每月至少进行1次，夏季半月消杀1次。</w:t>
            </w:r>
          </w:p>
        </w:tc>
      </w:tr>
      <w:tr w14:paraId="31166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73D738B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63C5E5B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公共天台、屋顶</w:t>
            </w:r>
          </w:p>
        </w:tc>
        <w:tc>
          <w:tcPr>
            <w:tcW w:w="6155" w:type="dxa"/>
            <w:shd w:val="clear" w:color="auto" w:fill="FFFFFF"/>
            <w:tcMar>
              <w:top w:w="0" w:type="dxa"/>
              <w:left w:w="108" w:type="dxa"/>
              <w:bottom w:w="0" w:type="dxa"/>
              <w:right w:w="108" w:type="dxa"/>
            </w:tcMar>
            <w:vAlign w:val="center"/>
          </w:tcPr>
          <w:p w14:paraId="71F0446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每周清理1次，保持清洁、无垃圾。</w:t>
            </w:r>
          </w:p>
        </w:tc>
      </w:tr>
      <w:tr w14:paraId="2E0DE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7" w:hRule="atLeast"/>
        </w:trPr>
        <w:tc>
          <w:tcPr>
            <w:tcW w:w="1118" w:type="dxa"/>
            <w:vMerge w:val="restart"/>
            <w:shd w:val="clear" w:color="auto" w:fill="FFFFFF"/>
            <w:tcMar>
              <w:top w:w="0" w:type="dxa"/>
              <w:left w:w="108" w:type="dxa"/>
              <w:bottom w:w="0" w:type="dxa"/>
              <w:right w:w="108" w:type="dxa"/>
            </w:tcMar>
            <w:vAlign w:val="center"/>
          </w:tcPr>
          <w:p w14:paraId="4AB5D6B9">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0A3739B2">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75C7C72E">
            <w:pPr>
              <w:widowControl/>
              <w:snapToGrid w:val="0"/>
              <w:spacing w:line="400" w:lineRule="exact"/>
              <w:ind w:firstLine="0" w:firstLineChars="0"/>
              <w:jc w:val="center"/>
              <w:rPr>
                <w:rFonts w:ascii="方正仿宋_GBK" w:hAnsi="Times New Roman" w:eastAsia="方正仿宋_GBK"/>
                <w:color w:val="000000"/>
                <w:kern w:val="0"/>
                <w:sz w:val="24"/>
                <w:szCs w:val="24"/>
              </w:rPr>
            </w:pPr>
          </w:p>
          <w:p w14:paraId="05FF218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房屋、共用设施、设备维护与管理</w:t>
            </w:r>
          </w:p>
        </w:tc>
        <w:tc>
          <w:tcPr>
            <w:tcW w:w="2075" w:type="dxa"/>
            <w:shd w:val="clear" w:color="auto" w:fill="FFFFFF"/>
            <w:tcMar>
              <w:top w:w="0" w:type="dxa"/>
              <w:left w:w="108" w:type="dxa"/>
              <w:bottom w:w="0" w:type="dxa"/>
              <w:right w:w="108" w:type="dxa"/>
            </w:tcMar>
          </w:tcPr>
          <w:p w14:paraId="72E68D6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公共部位门窗</w:t>
            </w:r>
          </w:p>
        </w:tc>
        <w:tc>
          <w:tcPr>
            <w:tcW w:w="6155" w:type="dxa"/>
            <w:shd w:val="clear" w:color="auto" w:fill="FFFFFF"/>
            <w:tcMar>
              <w:top w:w="0" w:type="dxa"/>
              <w:left w:w="108" w:type="dxa"/>
              <w:bottom w:w="0" w:type="dxa"/>
              <w:right w:w="108" w:type="dxa"/>
            </w:tcMar>
          </w:tcPr>
          <w:p w14:paraId="22E1739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每天巡视楼内公共部位门窗，保持玻璃、门窗配件完好，门、窗开闭灵活并无异常声响。</w:t>
            </w:r>
          </w:p>
        </w:tc>
      </w:tr>
      <w:tr w14:paraId="463560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160262CC">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166C52CC">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围墙</w:t>
            </w:r>
          </w:p>
        </w:tc>
        <w:tc>
          <w:tcPr>
            <w:tcW w:w="6155" w:type="dxa"/>
            <w:shd w:val="clear" w:color="auto" w:fill="FFFFFF"/>
            <w:tcMar>
              <w:top w:w="0" w:type="dxa"/>
              <w:left w:w="108" w:type="dxa"/>
              <w:bottom w:w="0" w:type="dxa"/>
              <w:right w:w="108" w:type="dxa"/>
            </w:tcMar>
            <w:vAlign w:val="center"/>
          </w:tcPr>
          <w:p w14:paraId="6C40BB5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每半月1次巡查围墙，发现损坏立即修复，铁栅栏围墙表面无锈蚀，保持围墙完好。</w:t>
            </w:r>
          </w:p>
        </w:tc>
      </w:tr>
      <w:tr w14:paraId="1201D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2354386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3A635C2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道路、场地等</w:t>
            </w:r>
          </w:p>
        </w:tc>
        <w:tc>
          <w:tcPr>
            <w:tcW w:w="6155" w:type="dxa"/>
            <w:shd w:val="clear" w:color="auto" w:fill="FFFFFF"/>
            <w:tcMar>
              <w:top w:w="0" w:type="dxa"/>
              <w:left w:w="108" w:type="dxa"/>
              <w:bottom w:w="0" w:type="dxa"/>
              <w:right w:w="108" w:type="dxa"/>
            </w:tcMar>
            <w:vAlign w:val="center"/>
          </w:tcPr>
          <w:p w14:paraId="449AC04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每周1次巡查道路、路面、侧石、井盖等，发现损坏及时修复，保持路面平整、无破损、无积水，侧石平直无缺损。</w:t>
            </w:r>
          </w:p>
        </w:tc>
      </w:tr>
      <w:tr w14:paraId="1F034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441E074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519FF83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排水设施</w:t>
            </w:r>
          </w:p>
        </w:tc>
        <w:tc>
          <w:tcPr>
            <w:tcW w:w="6155" w:type="dxa"/>
            <w:shd w:val="clear" w:color="auto" w:fill="FFFFFF"/>
            <w:tcMar>
              <w:top w:w="0" w:type="dxa"/>
              <w:left w:w="108" w:type="dxa"/>
              <w:bottom w:w="0" w:type="dxa"/>
              <w:right w:w="108" w:type="dxa"/>
            </w:tcMar>
            <w:vAlign w:val="center"/>
          </w:tcPr>
          <w:p w14:paraId="304F0D8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每月清扫1次以上排水明沟，每半年对地下管井清理1次，每年对地下管井彻底疏通1次。</w:t>
            </w:r>
          </w:p>
        </w:tc>
      </w:tr>
      <w:tr w14:paraId="520DB2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68BD674B">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61CF7AE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给水设施</w:t>
            </w:r>
          </w:p>
        </w:tc>
        <w:tc>
          <w:tcPr>
            <w:tcW w:w="6155" w:type="dxa"/>
            <w:shd w:val="clear" w:color="auto" w:fill="FFFFFF"/>
            <w:tcMar>
              <w:top w:w="0" w:type="dxa"/>
              <w:left w:w="108" w:type="dxa"/>
              <w:bottom w:w="0" w:type="dxa"/>
              <w:right w:w="108" w:type="dxa"/>
            </w:tcMar>
            <w:vAlign w:val="center"/>
          </w:tcPr>
          <w:p w14:paraId="648C8CB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饮用水水池(箱)每半年清洗消毒1次、水质化验达标，每1个月清扫1次泵房，每季对水泵机组清洗保养1次，每2个月对共用给水管道进行1次全面检查维修。</w:t>
            </w:r>
          </w:p>
        </w:tc>
      </w:tr>
      <w:tr w14:paraId="09B21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01C4F345">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118571D4">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公共部位照明灯、景观灯等</w:t>
            </w:r>
          </w:p>
        </w:tc>
        <w:tc>
          <w:tcPr>
            <w:tcW w:w="6155" w:type="dxa"/>
            <w:shd w:val="clear" w:color="auto" w:fill="FFFFFF"/>
            <w:tcMar>
              <w:top w:w="0" w:type="dxa"/>
              <w:left w:w="108" w:type="dxa"/>
              <w:bottom w:w="0" w:type="dxa"/>
              <w:right w:w="108" w:type="dxa"/>
            </w:tcMar>
            <w:vAlign w:val="center"/>
          </w:tcPr>
          <w:p w14:paraId="26D0370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保持灯具完好，亮灯率在99%以上。</w:t>
            </w:r>
          </w:p>
        </w:tc>
      </w:tr>
      <w:tr w14:paraId="3DB76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6DC6108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2B10EE0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消防设施、设备</w:t>
            </w:r>
          </w:p>
        </w:tc>
        <w:tc>
          <w:tcPr>
            <w:tcW w:w="6155" w:type="dxa"/>
            <w:shd w:val="clear" w:color="auto" w:fill="FFFFFF"/>
            <w:tcMar>
              <w:top w:w="0" w:type="dxa"/>
              <w:left w:w="108" w:type="dxa"/>
              <w:bottom w:w="0" w:type="dxa"/>
              <w:right w:w="108" w:type="dxa"/>
            </w:tcMar>
            <w:vAlign w:val="center"/>
          </w:tcPr>
          <w:p w14:paraId="31368D5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1、消防泵每月启动1次并作记录，定期保养，保证其运行正常。</w:t>
            </w:r>
          </w:p>
          <w:p w14:paraId="6EBC322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2、消防栓每月巡查1次，消防栓箱内各种配件完好。</w:t>
            </w:r>
          </w:p>
          <w:p w14:paraId="5709277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3、每天检查火警功能、报警功能是否正常。</w:t>
            </w:r>
          </w:p>
          <w:p w14:paraId="5CEFE91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4、每年试验1次探测器，并对全部控制装置进行1次试验，不合格的应当调换。</w:t>
            </w:r>
          </w:p>
          <w:p w14:paraId="629AB7C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5、每半年检查1次消防水带、阀杆处加注润滑油并作1次放水检查。</w:t>
            </w:r>
          </w:p>
          <w:p w14:paraId="279D1EE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6、每月检查1次灭火器，临近失效立即更新或充压。</w:t>
            </w:r>
          </w:p>
        </w:tc>
      </w:tr>
      <w:tr w14:paraId="257C2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3E555F76">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79D73CD8">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其他设施</w:t>
            </w:r>
          </w:p>
        </w:tc>
        <w:tc>
          <w:tcPr>
            <w:tcW w:w="6155" w:type="dxa"/>
            <w:shd w:val="clear" w:color="auto" w:fill="FFFFFF"/>
            <w:tcMar>
              <w:top w:w="0" w:type="dxa"/>
              <w:left w:w="108" w:type="dxa"/>
              <w:bottom w:w="0" w:type="dxa"/>
              <w:right w:w="108" w:type="dxa"/>
            </w:tcMar>
            <w:vAlign w:val="center"/>
          </w:tcPr>
          <w:p w14:paraId="2AFF21E5">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每日巡查小区房屋单元门、楼道、管线井道、机房以及其它共用设施设备,并及时维修养护，保证正常运行；小区主要道路及停车场交通标志、安全警示标志齐全。</w:t>
            </w:r>
          </w:p>
        </w:tc>
      </w:tr>
      <w:tr w14:paraId="110C0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1118" w:type="dxa"/>
            <w:vMerge w:val="restart"/>
            <w:shd w:val="clear" w:color="auto" w:fill="FFFFFF"/>
            <w:tcMar>
              <w:top w:w="0" w:type="dxa"/>
              <w:left w:w="108" w:type="dxa"/>
              <w:bottom w:w="0" w:type="dxa"/>
              <w:right w:w="108" w:type="dxa"/>
            </w:tcMar>
            <w:vAlign w:val="center"/>
          </w:tcPr>
          <w:p w14:paraId="587B2D5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园林绿化养护与管理</w:t>
            </w:r>
          </w:p>
        </w:tc>
        <w:tc>
          <w:tcPr>
            <w:tcW w:w="2075" w:type="dxa"/>
            <w:shd w:val="clear" w:color="auto" w:fill="FFFFFF"/>
            <w:tcMar>
              <w:top w:w="0" w:type="dxa"/>
              <w:left w:w="108" w:type="dxa"/>
              <w:bottom w:w="0" w:type="dxa"/>
              <w:right w:w="108" w:type="dxa"/>
            </w:tcMar>
            <w:vAlign w:val="center"/>
          </w:tcPr>
          <w:p w14:paraId="4DAA6EF6">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基本条件</w:t>
            </w:r>
          </w:p>
        </w:tc>
        <w:tc>
          <w:tcPr>
            <w:tcW w:w="6155" w:type="dxa"/>
            <w:shd w:val="clear" w:color="auto" w:fill="FFFFFF"/>
            <w:tcMar>
              <w:top w:w="0" w:type="dxa"/>
              <w:left w:w="108" w:type="dxa"/>
              <w:bottom w:w="0" w:type="dxa"/>
              <w:right w:w="108" w:type="dxa"/>
            </w:tcMar>
            <w:vAlign w:val="center"/>
          </w:tcPr>
          <w:p w14:paraId="517173A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乔、灌、地被、草配植科学，层次丰富、季相分明。集中绿地布置全冠大树。花坛、花景面积占绿地总面积1%以上；植物品种多样（不少于30种）。乔灌木生长健壮，树冠完整，形态优美；花灌木按时开花结果。</w:t>
            </w:r>
          </w:p>
        </w:tc>
      </w:tr>
      <w:tr w14:paraId="3B387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38828BE4">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25B8407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草坪、灌木类、花坛</w:t>
            </w:r>
          </w:p>
        </w:tc>
        <w:tc>
          <w:tcPr>
            <w:tcW w:w="6155" w:type="dxa"/>
            <w:shd w:val="clear" w:color="auto" w:fill="FFFFFF"/>
            <w:tcMar>
              <w:top w:w="0" w:type="dxa"/>
              <w:left w:w="108" w:type="dxa"/>
              <w:bottom w:w="0" w:type="dxa"/>
              <w:right w:w="108" w:type="dxa"/>
            </w:tcMar>
            <w:vAlign w:val="center"/>
          </w:tcPr>
          <w:p w14:paraId="1A21CC2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成活率98%以上，每年修剪4次，除虫施肥每年1次，虫害及时灭杀。</w:t>
            </w:r>
          </w:p>
        </w:tc>
      </w:tr>
      <w:tr w14:paraId="79AFD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2" w:hRule="atLeast"/>
        </w:trPr>
        <w:tc>
          <w:tcPr>
            <w:tcW w:w="1118" w:type="dxa"/>
            <w:vMerge w:val="continue"/>
            <w:shd w:val="clear" w:color="auto" w:fill="FFFFFF"/>
            <w:vAlign w:val="center"/>
          </w:tcPr>
          <w:p w14:paraId="2154DF1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6C96AA2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乔木类</w:t>
            </w:r>
          </w:p>
        </w:tc>
        <w:tc>
          <w:tcPr>
            <w:tcW w:w="6155" w:type="dxa"/>
            <w:shd w:val="clear" w:color="auto" w:fill="FFFFFF"/>
            <w:tcMar>
              <w:top w:w="0" w:type="dxa"/>
              <w:left w:w="108" w:type="dxa"/>
              <w:bottom w:w="0" w:type="dxa"/>
              <w:right w:w="108" w:type="dxa"/>
            </w:tcMar>
            <w:vAlign w:val="center"/>
          </w:tcPr>
          <w:p w14:paraId="2F07E489">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成活率98%以上，无明显缺株，每年修剪3次，除虫施肥每年1次，虫害及时灭杀。</w:t>
            </w:r>
          </w:p>
        </w:tc>
      </w:tr>
      <w:tr w14:paraId="6A9A8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183CD073">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634AD6B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人工湖、喷水池</w:t>
            </w:r>
          </w:p>
        </w:tc>
        <w:tc>
          <w:tcPr>
            <w:tcW w:w="6155" w:type="dxa"/>
            <w:shd w:val="clear" w:color="auto" w:fill="FFFFFF"/>
            <w:tcMar>
              <w:top w:w="0" w:type="dxa"/>
              <w:left w:w="108" w:type="dxa"/>
              <w:bottom w:w="0" w:type="dxa"/>
              <w:right w:w="108" w:type="dxa"/>
            </w:tcMar>
            <w:vAlign w:val="center"/>
          </w:tcPr>
          <w:p w14:paraId="41275D5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每日水面清捞1次，每月清理1次，人工湖每年</w:t>
            </w:r>
          </w:p>
          <w:p w14:paraId="2046D42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换水2次，水质不良及时更换。</w:t>
            </w:r>
          </w:p>
        </w:tc>
      </w:tr>
      <w:tr w14:paraId="73928A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1CB4B589">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186965AF">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景观小品</w:t>
            </w:r>
          </w:p>
        </w:tc>
        <w:tc>
          <w:tcPr>
            <w:tcW w:w="6155" w:type="dxa"/>
            <w:shd w:val="clear" w:color="auto" w:fill="FFFFFF"/>
            <w:tcMar>
              <w:top w:w="0" w:type="dxa"/>
              <w:left w:w="108" w:type="dxa"/>
              <w:bottom w:w="0" w:type="dxa"/>
              <w:right w:w="108" w:type="dxa"/>
            </w:tcMar>
            <w:vAlign w:val="center"/>
          </w:tcPr>
          <w:p w14:paraId="7D6EB9D8">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每周清洁1次</w:t>
            </w:r>
          </w:p>
        </w:tc>
      </w:tr>
      <w:tr w14:paraId="2EC40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restart"/>
            <w:shd w:val="clear" w:color="auto" w:fill="FFFFFF"/>
            <w:tcMar>
              <w:top w:w="0" w:type="dxa"/>
              <w:left w:w="108" w:type="dxa"/>
              <w:bottom w:w="0" w:type="dxa"/>
              <w:right w:w="108" w:type="dxa"/>
            </w:tcMar>
            <w:vAlign w:val="center"/>
          </w:tcPr>
          <w:p w14:paraId="1A9DF2B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安全</w:t>
            </w:r>
          </w:p>
          <w:p w14:paraId="1680B3DB">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防范</w:t>
            </w:r>
          </w:p>
        </w:tc>
        <w:tc>
          <w:tcPr>
            <w:tcW w:w="2075" w:type="dxa"/>
            <w:shd w:val="clear" w:color="auto" w:fill="FFFFFF"/>
            <w:tcMar>
              <w:top w:w="0" w:type="dxa"/>
              <w:left w:w="108" w:type="dxa"/>
              <w:bottom w:w="0" w:type="dxa"/>
              <w:right w:w="108" w:type="dxa"/>
            </w:tcMar>
            <w:vAlign w:val="center"/>
          </w:tcPr>
          <w:p w14:paraId="20AAA497">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人员要求</w:t>
            </w:r>
          </w:p>
        </w:tc>
        <w:tc>
          <w:tcPr>
            <w:tcW w:w="6155" w:type="dxa"/>
            <w:shd w:val="clear" w:color="auto" w:fill="FFFFFF"/>
            <w:tcMar>
              <w:top w:w="0" w:type="dxa"/>
              <w:left w:w="108" w:type="dxa"/>
              <w:bottom w:w="0" w:type="dxa"/>
              <w:right w:w="108" w:type="dxa"/>
            </w:tcMar>
            <w:vAlign w:val="center"/>
          </w:tcPr>
          <w:p w14:paraId="2B6C58DE">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1、专职保安人员，以中青年为主，45周岁以下的人员占总数60%以上，身体健康，工作认真负责并定期接受培训。</w:t>
            </w:r>
          </w:p>
          <w:p w14:paraId="44566B8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2、能处理和应对小区公共秩序维护工作，能正确使用各类消防、物防、技防器械和设备，能够熟悉、掌握各类刑事、治安案件和各类灾害事故的应急预案。</w:t>
            </w:r>
          </w:p>
          <w:p w14:paraId="73BCE96B">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3、上岗时佩带统一标志，穿戴统一制服（精致），装备佩戴规范，仪容仪表规范整齐，当值时坐姿挺直，站岗时不倚不靠。</w:t>
            </w:r>
          </w:p>
          <w:p w14:paraId="1879D2CF">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4、配备对讲装置和其他必备的安全护卫器械。</w:t>
            </w:r>
          </w:p>
        </w:tc>
      </w:tr>
      <w:tr w14:paraId="5A221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4FAB2C7A">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4345181E">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门岗</w:t>
            </w:r>
          </w:p>
        </w:tc>
        <w:tc>
          <w:tcPr>
            <w:tcW w:w="6155" w:type="dxa"/>
            <w:shd w:val="clear" w:color="auto" w:fill="FFFFFF"/>
            <w:tcMar>
              <w:top w:w="0" w:type="dxa"/>
              <w:left w:w="108" w:type="dxa"/>
              <w:bottom w:w="0" w:type="dxa"/>
              <w:right w:w="108" w:type="dxa"/>
            </w:tcMar>
            <w:vAlign w:val="center"/>
          </w:tcPr>
          <w:p w14:paraId="4A91B3E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1、主出入口24小时值班看守，至少2人值守，每天立岗时间不低于10小时，并有详细交接班记录和外来车辆的登记记录。</w:t>
            </w:r>
          </w:p>
          <w:p w14:paraId="6F958A5D">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2、对进出小区的车辆进行管理和疏导，保持出入口环境整洁、有序、道路畅通；对大型物件搬出实行记录。</w:t>
            </w:r>
          </w:p>
          <w:p w14:paraId="7FDF1FD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3、老弱病残进门可提供专人护送，可配备护送专用车。</w:t>
            </w:r>
          </w:p>
        </w:tc>
      </w:tr>
      <w:tr w14:paraId="3B281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4595DE22">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45332182">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巡逻岗</w:t>
            </w:r>
          </w:p>
        </w:tc>
        <w:tc>
          <w:tcPr>
            <w:tcW w:w="6155" w:type="dxa"/>
            <w:shd w:val="clear" w:color="auto" w:fill="FFFFFF"/>
            <w:tcMar>
              <w:top w:w="0" w:type="dxa"/>
              <w:left w:w="108" w:type="dxa"/>
              <w:bottom w:w="0" w:type="dxa"/>
              <w:right w:w="108" w:type="dxa"/>
            </w:tcMar>
            <w:vAlign w:val="center"/>
          </w:tcPr>
          <w:p w14:paraId="6F1CD3E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保安人员手持巡更采集器，按指定的时间和路线每2小时巡查1次，重点部位（小区道路、单元出入口、楼层和地下车库）应设巡更点，在正常情况下到达每个巡更点的时间误差不超过3分钟，监控中心有巡更记录。</w:t>
            </w:r>
          </w:p>
        </w:tc>
      </w:tr>
      <w:tr w14:paraId="37DE70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118" w:type="dxa"/>
            <w:vMerge w:val="continue"/>
            <w:shd w:val="clear" w:color="auto" w:fill="FFFFFF"/>
            <w:vAlign w:val="center"/>
          </w:tcPr>
          <w:p w14:paraId="5C5E3E9E">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4E4791C1">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技防设施和救助</w:t>
            </w:r>
          </w:p>
          <w:p w14:paraId="02DB179D">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（监控岗）</w:t>
            </w:r>
          </w:p>
        </w:tc>
        <w:tc>
          <w:tcPr>
            <w:tcW w:w="6155" w:type="dxa"/>
            <w:shd w:val="clear" w:color="auto" w:fill="FFFFFF"/>
            <w:tcMar>
              <w:top w:w="0" w:type="dxa"/>
              <w:left w:w="108" w:type="dxa"/>
              <w:bottom w:w="0" w:type="dxa"/>
              <w:right w:w="108" w:type="dxa"/>
            </w:tcMar>
          </w:tcPr>
          <w:p w14:paraId="7D8F8497">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小区设有监控中心，应具备录像监控（监控点至少覆盖单元进出口、小区主要道路出入口）、楼宇对讲（可视）、周界报警（全封闭）、门锁智能卡等技防设施，24小时开通，并有人驻守，注视各设备所传达的信息。</w:t>
            </w:r>
          </w:p>
          <w:p w14:paraId="759DC672">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2、监控中心接到报警信号后，保安人员应立即赶到现场进行处理。</w:t>
            </w:r>
          </w:p>
          <w:p w14:paraId="21253B43">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3、小区应有火警、水警、警情应急预案，并在监控中心控制室内悬挂；每年应组织不少于1次的应急预案演习。</w:t>
            </w:r>
          </w:p>
        </w:tc>
      </w:tr>
      <w:tr w14:paraId="27543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4" w:hRule="atLeast"/>
        </w:trPr>
        <w:tc>
          <w:tcPr>
            <w:tcW w:w="1118" w:type="dxa"/>
            <w:vMerge w:val="continue"/>
            <w:shd w:val="clear" w:color="auto" w:fill="FFFFFF"/>
            <w:vAlign w:val="center"/>
          </w:tcPr>
          <w:p w14:paraId="52D60CC7">
            <w:pPr>
              <w:widowControl/>
              <w:snapToGrid w:val="0"/>
              <w:spacing w:line="400" w:lineRule="exact"/>
              <w:ind w:firstLine="0" w:firstLineChars="0"/>
              <w:jc w:val="center"/>
              <w:rPr>
                <w:rFonts w:ascii="方正仿宋_GBK" w:hAnsi="Times New Roman" w:eastAsia="方正仿宋_GBK"/>
                <w:color w:val="000000"/>
                <w:kern w:val="0"/>
                <w:sz w:val="24"/>
                <w:szCs w:val="24"/>
              </w:rPr>
            </w:pPr>
          </w:p>
        </w:tc>
        <w:tc>
          <w:tcPr>
            <w:tcW w:w="2075" w:type="dxa"/>
            <w:shd w:val="clear" w:color="auto" w:fill="FFFFFF"/>
            <w:tcMar>
              <w:top w:w="0" w:type="dxa"/>
              <w:left w:w="108" w:type="dxa"/>
              <w:bottom w:w="0" w:type="dxa"/>
              <w:right w:w="108" w:type="dxa"/>
            </w:tcMar>
            <w:vAlign w:val="center"/>
          </w:tcPr>
          <w:p w14:paraId="35215733">
            <w:pPr>
              <w:widowControl/>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车辆管理</w:t>
            </w:r>
          </w:p>
        </w:tc>
        <w:tc>
          <w:tcPr>
            <w:tcW w:w="6155" w:type="dxa"/>
            <w:shd w:val="clear" w:color="auto" w:fill="FFFFFF"/>
            <w:tcMar>
              <w:top w:w="0" w:type="dxa"/>
              <w:left w:w="108" w:type="dxa"/>
              <w:bottom w:w="0" w:type="dxa"/>
              <w:right w:w="108" w:type="dxa"/>
            </w:tcMar>
            <w:vAlign w:val="center"/>
          </w:tcPr>
          <w:p w14:paraId="05E8FDCA">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1、地面、墙面按车辆道路行驶要求设立指示牌和地标，车辆行驶有规定路线，车辆停放有序。</w:t>
            </w:r>
          </w:p>
          <w:p w14:paraId="615B3E71">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2、有专职人员24小时巡视和协助停车事宜。</w:t>
            </w:r>
          </w:p>
          <w:p w14:paraId="11C1DC80">
            <w:pPr>
              <w:widowControl/>
              <w:snapToGrid w:val="0"/>
              <w:spacing w:line="400" w:lineRule="exact"/>
              <w:ind w:firstLine="0" w:firstLineChars="0"/>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3、收费管理的车库内配置道闸和录像监视，地面、墙面按车辆道路行驶要求设立指示牌和地标，照明、消防器械配置齐全。</w:t>
            </w:r>
          </w:p>
        </w:tc>
      </w:tr>
    </w:tbl>
    <w:p w14:paraId="7C28A6FD">
      <w:pPr>
        <w:widowControl/>
        <w:shd w:val="clear" w:color="auto" w:fill="FFFFFF"/>
        <w:snapToGrid w:val="0"/>
        <w:spacing w:line="560" w:lineRule="exact"/>
        <w:ind w:firstLine="0" w:firstLineChars="0"/>
        <w:rPr>
          <w:rFonts w:ascii="方正仿宋_GBK" w:hAnsi="Times New Roman" w:eastAsia="方正仿宋_GBK"/>
          <w:b/>
          <w:color w:val="000000"/>
          <w:kern w:val="0"/>
          <w:sz w:val="24"/>
          <w:szCs w:val="24"/>
        </w:rPr>
      </w:pPr>
    </w:p>
    <w:p w14:paraId="116D9EBD">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05D571DC">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12F5BD5B">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0C20DF8B">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0F957B12">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4DAF3019">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325BB634">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21F2A73C">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54F9BA56">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18B7B2CB">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46AE6105">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707CE3A0">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01A1CACA">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1C2D2922">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5409E8B8">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5BDE36CF">
      <w:pPr>
        <w:widowControl/>
        <w:shd w:val="clear" w:color="auto" w:fill="FFFFFF"/>
        <w:snapToGrid w:val="0"/>
        <w:spacing w:line="560" w:lineRule="exact"/>
        <w:ind w:firstLine="0" w:firstLineChars="0"/>
        <w:rPr>
          <w:rFonts w:ascii="Times New Roman" w:hAnsi="Times New Roman"/>
          <w:b/>
          <w:color w:val="000000"/>
          <w:kern w:val="0"/>
          <w:sz w:val="32"/>
          <w:szCs w:val="32"/>
        </w:rPr>
      </w:pPr>
    </w:p>
    <w:p w14:paraId="15999818">
      <w:pPr>
        <w:widowControl/>
        <w:snapToGrid w:val="0"/>
        <w:spacing w:line="560" w:lineRule="exact"/>
        <w:ind w:firstLine="411" w:firstLineChars="128"/>
        <w:jc w:val="center"/>
        <w:rPr>
          <w:rFonts w:ascii="Times New Roman" w:hAnsi="Times New Roman"/>
          <w:b/>
          <w:color w:val="000000"/>
          <w:kern w:val="0"/>
          <w:sz w:val="32"/>
          <w:szCs w:val="32"/>
        </w:rPr>
      </w:pPr>
    </w:p>
    <w:p w14:paraId="484195CC">
      <w:pPr>
        <w:widowControl/>
        <w:snapToGrid w:val="0"/>
        <w:spacing w:line="560" w:lineRule="exact"/>
        <w:ind w:firstLine="411" w:firstLineChars="128"/>
        <w:jc w:val="center"/>
        <w:rPr>
          <w:rFonts w:ascii="Times New Roman" w:hAnsi="Times New Roman"/>
          <w:b/>
          <w:color w:val="000000"/>
          <w:kern w:val="0"/>
          <w:sz w:val="32"/>
          <w:szCs w:val="32"/>
        </w:rPr>
      </w:pPr>
    </w:p>
    <w:p w14:paraId="22170028">
      <w:pPr>
        <w:widowControl/>
        <w:snapToGrid w:val="0"/>
        <w:spacing w:line="560" w:lineRule="exact"/>
        <w:ind w:firstLine="411" w:firstLineChars="128"/>
        <w:jc w:val="center"/>
        <w:rPr>
          <w:rFonts w:ascii="Times New Roman" w:hAnsi="Times New Roman"/>
          <w:b/>
          <w:color w:val="000000"/>
          <w:kern w:val="0"/>
          <w:sz w:val="32"/>
          <w:szCs w:val="32"/>
        </w:rPr>
      </w:pPr>
    </w:p>
    <w:p w14:paraId="1F9BBECC">
      <w:pPr>
        <w:widowControl/>
        <w:snapToGrid w:val="0"/>
        <w:spacing w:line="560" w:lineRule="exact"/>
        <w:ind w:firstLine="463" w:firstLineChars="128"/>
        <w:jc w:val="center"/>
        <w:rPr>
          <w:rFonts w:hint="eastAsia" w:ascii="方正黑体_GBK" w:hAnsi="Times New Roman" w:eastAsia="方正黑体_GBK"/>
          <w:b/>
          <w:color w:val="000000"/>
          <w:kern w:val="0"/>
          <w:sz w:val="36"/>
          <w:szCs w:val="36"/>
        </w:rPr>
      </w:pPr>
    </w:p>
    <w:p w14:paraId="63F74249">
      <w:pPr>
        <w:widowControl/>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宜兴市普通住宅前期物业公共服务等级收费标准</w:t>
      </w:r>
    </w:p>
    <w:p w14:paraId="2DF167E7">
      <w:pPr>
        <w:widowControl/>
        <w:snapToGrid w:val="0"/>
        <w:spacing w:line="560" w:lineRule="exact"/>
        <w:ind w:firstLine="307" w:firstLineChars="128"/>
        <w:jc w:val="left"/>
        <w:rPr>
          <w:rFonts w:ascii="方正仿宋_GBK" w:hAnsi="Times New Roman" w:eastAsia="方正仿宋_GBK"/>
          <w:color w:val="000000"/>
          <w:kern w:val="0"/>
          <w:sz w:val="24"/>
        </w:rPr>
      </w:pPr>
      <w:r>
        <w:rPr>
          <w:rFonts w:ascii="Times New Roman" w:hAnsi="Times New Roman"/>
          <w:color w:val="000000"/>
          <w:kern w:val="0"/>
          <w:sz w:val="24"/>
        </w:rPr>
        <w:t>　　</w:t>
      </w:r>
      <w:r>
        <w:rPr>
          <w:rFonts w:hint="eastAsia" w:ascii="方正仿宋_GBK" w:hAnsi="Times New Roman" w:eastAsia="方正仿宋_GBK"/>
          <w:color w:val="000000"/>
          <w:kern w:val="0"/>
          <w:sz w:val="24"/>
        </w:rPr>
        <w:t>单位：元/每平方米、建筑面积（不含电梯运行维护费、公共能耗费）</w:t>
      </w:r>
    </w:p>
    <w:p w14:paraId="1823E257">
      <w:pPr>
        <w:widowControl/>
        <w:snapToGrid w:val="0"/>
        <w:spacing w:line="560" w:lineRule="exact"/>
        <w:ind w:firstLine="307" w:firstLineChars="128"/>
        <w:jc w:val="left"/>
        <w:rPr>
          <w:rFonts w:ascii="方正仿宋_GBK" w:hAnsi="Times New Roman" w:eastAsia="方正仿宋_GBK"/>
          <w:color w:val="000000"/>
          <w:kern w:val="0"/>
          <w:sz w:val="24"/>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380"/>
        <w:gridCol w:w="1047"/>
        <w:gridCol w:w="1015"/>
        <w:gridCol w:w="1015"/>
        <w:gridCol w:w="1015"/>
        <w:gridCol w:w="1015"/>
        <w:gridCol w:w="1015"/>
        <w:gridCol w:w="1015"/>
      </w:tblGrid>
      <w:tr w14:paraId="1C7B7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jc w:val="center"/>
        </w:trPr>
        <w:tc>
          <w:tcPr>
            <w:tcW w:w="1380" w:type="dxa"/>
            <w:shd w:val="clear" w:color="auto" w:fill="FFFFFF"/>
            <w:tcMar>
              <w:top w:w="0" w:type="dxa"/>
              <w:left w:w="108" w:type="dxa"/>
              <w:bottom w:w="0" w:type="dxa"/>
              <w:right w:w="108" w:type="dxa"/>
            </w:tcMar>
            <w:vAlign w:val="center"/>
          </w:tcPr>
          <w:p w14:paraId="5FC934D6">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收费等级</w:t>
            </w:r>
          </w:p>
        </w:tc>
        <w:tc>
          <w:tcPr>
            <w:tcW w:w="1047" w:type="dxa"/>
            <w:shd w:val="clear" w:color="auto" w:fill="FFFFFF"/>
            <w:tcMar>
              <w:top w:w="0" w:type="dxa"/>
              <w:left w:w="108" w:type="dxa"/>
              <w:bottom w:w="0" w:type="dxa"/>
              <w:right w:w="108" w:type="dxa"/>
            </w:tcMar>
            <w:vAlign w:val="center"/>
          </w:tcPr>
          <w:p w14:paraId="4BCC8206">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一级</w:t>
            </w:r>
          </w:p>
        </w:tc>
        <w:tc>
          <w:tcPr>
            <w:tcW w:w="1015" w:type="dxa"/>
            <w:shd w:val="clear" w:color="auto" w:fill="FFFFFF"/>
            <w:tcMar>
              <w:top w:w="0" w:type="dxa"/>
              <w:left w:w="108" w:type="dxa"/>
              <w:bottom w:w="0" w:type="dxa"/>
              <w:right w:w="108" w:type="dxa"/>
            </w:tcMar>
            <w:vAlign w:val="center"/>
          </w:tcPr>
          <w:p w14:paraId="4011AF3E">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二级</w:t>
            </w:r>
          </w:p>
        </w:tc>
        <w:tc>
          <w:tcPr>
            <w:tcW w:w="1015" w:type="dxa"/>
            <w:shd w:val="clear" w:color="auto" w:fill="FFFFFF"/>
            <w:tcMar>
              <w:top w:w="0" w:type="dxa"/>
              <w:left w:w="108" w:type="dxa"/>
              <w:bottom w:w="0" w:type="dxa"/>
              <w:right w:w="108" w:type="dxa"/>
            </w:tcMar>
            <w:vAlign w:val="center"/>
          </w:tcPr>
          <w:p w14:paraId="32C4A252">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三级</w:t>
            </w:r>
          </w:p>
        </w:tc>
        <w:tc>
          <w:tcPr>
            <w:tcW w:w="1015" w:type="dxa"/>
            <w:shd w:val="clear" w:color="auto" w:fill="FFFFFF"/>
            <w:tcMar>
              <w:top w:w="0" w:type="dxa"/>
              <w:left w:w="108" w:type="dxa"/>
              <w:bottom w:w="0" w:type="dxa"/>
              <w:right w:w="108" w:type="dxa"/>
            </w:tcMar>
            <w:vAlign w:val="center"/>
          </w:tcPr>
          <w:p w14:paraId="793FE3BF">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四级</w:t>
            </w:r>
          </w:p>
        </w:tc>
        <w:tc>
          <w:tcPr>
            <w:tcW w:w="1015" w:type="dxa"/>
            <w:shd w:val="clear" w:color="auto" w:fill="FFFFFF"/>
            <w:tcMar>
              <w:top w:w="0" w:type="dxa"/>
              <w:left w:w="108" w:type="dxa"/>
              <w:bottom w:w="0" w:type="dxa"/>
              <w:right w:w="108" w:type="dxa"/>
            </w:tcMar>
            <w:vAlign w:val="center"/>
          </w:tcPr>
          <w:p w14:paraId="4FD688E7">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五级</w:t>
            </w:r>
          </w:p>
        </w:tc>
        <w:tc>
          <w:tcPr>
            <w:tcW w:w="1015" w:type="dxa"/>
            <w:shd w:val="clear" w:color="auto" w:fill="FFFFFF"/>
            <w:tcMar>
              <w:top w:w="0" w:type="dxa"/>
              <w:left w:w="108" w:type="dxa"/>
              <w:bottom w:w="0" w:type="dxa"/>
              <w:right w:w="108" w:type="dxa"/>
            </w:tcMar>
            <w:vAlign w:val="center"/>
          </w:tcPr>
          <w:p w14:paraId="6EF0F888">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六级</w:t>
            </w:r>
          </w:p>
        </w:tc>
        <w:tc>
          <w:tcPr>
            <w:tcW w:w="1015" w:type="dxa"/>
            <w:shd w:val="clear" w:color="auto" w:fill="FFFFFF"/>
            <w:tcMar>
              <w:top w:w="0" w:type="dxa"/>
              <w:left w:w="108" w:type="dxa"/>
              <w:bottom w:w="0" w:type="dxa"/>
              <w:right w:w="108" w:type="dxa"/>
            </w:tcMar>
            <w:vAlign w:val="center"/>
          </w:tcPr>
          <w:p w14:paraId="74A8408D">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七级</w:t>
            </w:r>
          </w:p>
        </w:tc>
      </w:tr>
      <w:tr w14:paraId="26073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45" w:hRule="atLeast"/>
          <w:jc w:val="center"/>
        </w:trPr>
        <w:tc>
          <w:tcPr>
            <w:tcW w:w="1380" w:type="dxa"/>
            <w:shd w:val="clear" w:color="auto" w:fill="FFFFFF"/>
            <w:tcMar>
              <w:top w:w="0" w:type="dxa"/>
              <w:left w:w="108" w:type="dxa"/>
              <w:bottom w:w="0" w:type="dxa"/>
              <w:right w:w="108" w:type="dxa"/>
            </w:tcMar>
            <w:vAlign w:val="center"/>
          </w:tcPr>
          <w:p w14:paraId="3CDCB9B1">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收费标准</w:t>
            </w:r>
          </w:p>
        </w:tc>
        <w:tc>
          <w:tcPr>
            <w:tcW w:w="1047" w:type="dxa"/>
            <w:shd w:val="clear" w:color="auto" w:fill="FFFFFF"/>
            <w:tcMar>
              <w:top w:w="0" w:type="dxa"/>
              <w:left w:w="108" w:type="dxa"/>
              <w:bottom w:w="0" w:type="dxa"/>
              <w:right w:w="108" w:type="dxa"/>
            </w:tcMar>
            <w:vAlign w:val="center"/>
          </w:tcPr>
          <w:p w14:paraId="00ECBB55">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0.50</w:t>
            </w:r>
          </w:p>
        </w:tc>
        <w:tc>
          <w:tcPr>
            <w:tcW w:w="1015" w:type="dxa"/>
            <w:shd w:val="clear" w:color="auto" w:fill="FFFFFF"/>
            <w:tcMar>
              <w:top w:w="0" w:type="dxa"/>
              <w:left w:w="108" w:type="dxa"/>
              <w:bottom w:w="0" w:type="dxa"/>
              <w:right w:w="108" w:type="dxa"/>
            </w:tcMar>
            <w:vAlign w:val="center"/>
          </w:tcPr>
          <w:p w14:paraId="445E18D6">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0.80</w:t>
            </w:r>
          </w:p>
        </w:tc>
        <w:tc>
          <w:tcPr>
            <w:tcW w:w="1015" w:type="dxa"/>
            <w:shd w:val="clear" w:color="auto" w:fill="FFFFFF"/>
            <w:tcMar>
              <w:top w:w="0" w:type="dxa"/>
              <w:left w:w="108" w:type="dxa"/>
              <w:bottom w:w="0" w:type="dxa"/>
              <w:right w:w="108" w:type="dxa"/>
            </w:tcMar>
            <w:vAlign w:val="center"/>
          </w:tcPr>
          <w:p w14:paraId="0B5DE2C6">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1.10</w:t>
            </w:r>
          </w:p>
        </w:tc>
        <w:tc>
          <w:tcPr>
            <w:tcW w:w="1015" w:type="dxa"/>
            <w:shd w:val="clear" w:color="auto" w:fill="FFFFFF"/>
            <w:tcMar>
              <w:top w:w="0" w:type="dxa"/>
              <w:left w:w="108" w:type="dxa"/>
              <w:bottom w:w="0" w:type="dxa"/>
              <w:right w:w="108" w:type="dxa"/>
            </w:tcMar>
            <w:vAlign w:val="center"/>
          </w:tcPr>
          <w:p w14:paraId="626467AB">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1.40</w:t>
            </w:r>
          </w:p>
        </w:tc>
        <w:tc>
          <w:tcPr>
            <w:tcW w:w="1015" w:type="dxa"/>
            <w:shd w:val="clear" w:color="auto" w:fill="FFFFFF"/>
            <w:tcMar>
              <w:top w:w="0" w:type="dxa"/>
              <w:left w:w="108" w:type="dxa"/>
              <w:bottom w:w="0" w:type="dxa"/>
              <w:right w:w="108" w:type="dxa"/>
            </w:tcMar>
            <w:vAlign w:val="center"/>
          </w:tcPr>
          <w:p w14:paraId="74D53267">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1.70</w:t>
            </w:r>
          </w:p>
        </w:tc>
        <w:tc>
          <w:tcPr>
            <w:tcW w:w="1015" w:type="dxa"/>
            <w:shd w:val="clear" w:color="auto" w:fill="FFFFFF"/>
            <w:tcMar>
              <w:top w:w="0" w:type="dxa"/>
              <w:left w:w="108" w:type="dxa"/>
              <w:bottom w:w="0" w:type="dxa"/>
              <w:right w:w="108" w:type="dxa"/>
            </w:tcMar>
            <w:vAlign w:val="center"/>
          </w:tcPr>
          <w:p w14:paraId="4BCF0593">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2.00</w:t>
            </w:r>
          </w:p>
        </w:tc>
        <w:tc>
          <w:tcPr>
            <w:tcW w:w="1015" w:type="dxa"/>
            <w:shd w:val="clear" w:color="auto" w:fill="FFFFFF"/>
            <w:tcMar>
              <w:top w:w="0" w:type="dxa"/>
              <w:left w:w="108" w:type="dxa"/>
              <w:bottom w:w="0" w:type="dxa"/>
              <w:right w:w="108" w:type="dxa"/>
            </w:tcMar>
            <w:vAlign w:val="center"/>
          </w:tcPr>
          <w:p w14:paraId="6A48F03D">
            <w:pPr>
              <w:widowControl/>
              <w:snapToGrid w:val="0"/>
              <w:spacing w:line="400" w:lineRule="exact"/>
              <w:ind w:firstLine="0" w:firstLineChars="0"/>
              <w:jc w:val="center"/>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2.30</w:t>
            </w:r>
          </w:p>
        </w:tc>
      </w:tr>
      <w:tr w14:paraId="69550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380" w:hRule="atLeast"/>
          <w:jc w:val="center"/>
        </w:trPr>
        <w:tc>
          <w:tcPr>
            <w:tcW w:w="8517" w:type="dxa"/>
            <w:gridSpan w:val="8"/>
            <w:shd w:val="clear" w:color="auto" w:fill="FFFFFF"/>
            <w:tcMar>
              <w:top w:w="0" w:type="dxa"/>
              <w:left w:w="108" w:type="dxa"/>
              <w:bottom w:w="0" w:type="dxa"/>
              <w:right w:w="108" w:type="dxa"/>
            </w:tcMar>
          </w:tcPr>
          <w:p w14:paraId="3163927F">
            <w:pPr>
              <w:widowControl/>
              <w:snapToGrid w:val="0"/>
              <w:spacing w:line="400" w:lineRule="exact"/>
              <w:ind w:firstLine="0" w:firstLineChars="0"/>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备注：</w:t>
            </w:r>
          </w:p>
          <w:p w14:paraId="75115C87">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000000"/>
                <w:szCs w:val="22"/>
              </w:rPr>
              <w:t>一、 本等级收费标准为基准指导价标准，允许在20%的幅度内上下浮动，但上浮必须得到市价格主管部门同意备案后方可执行。</w:t>
            </w:r>
          </w:p>
          <w:p w14:paraId="5C917FB4">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000000"/>
                <w:szCs w:val="22"/>
              </w:rPr>
              <w:t>二、普通住宅物业公共服务收费标准的调整程序</w:t>
            </w:r>
          </w:p>
          <w:p w14:paraId="3E107660">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000000"/>
                <w:szCs w:val="22"/>
              </w:rPr>
              <w:t>（一）、业主大会成立前的住宅小区</w:t>
            </w:r>
          </w:p>
          <w:p w14:paraId="25A9D5E0">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auto"/>
                <w:szCs w:val="22"/>
              </w:rPr>
            </w:pPr>
            <w:r>
              <w:rPr>
                <w:rFonts w:hint="eastAsia" w:ascii="方正仿宋_GBK" w:hAnsi="Times New Roman" w:eastAsia="方正仿宋_GBK"/>
                <w:color w:val="000000"/>
                <w:szCs w:val="22"/>
              </w:rPr>
              <w:t>1、已进行前期物业管理招投标但未办理收费标准备案手续的小区，其前期物业公共服务收费标准的调整，由</w:t>
            </w:r>
            <w:r>
              <w:rPr>
                <w:rFonts w:hint="eastAsia" w:ascii="方正仿宋_GBK" w:hAnsi="Times New Roman" w:eastAsia="方正仿宋_GBK"/>
                <w:color w:val="auto"/>
                <w:szCs w:val="22"/>
              </w:rPr>
              <w:t>开发建设单位提出书面申请，由属地政府[居（村）委会]组织，在会同市价格、市住</w:t>
            </w:r>
            <w:r>
              <w:rPr>
                <w:rFonts w:hint="eastAsia" w:ascii="方正仿宋_GBK" w:hAnsi="Times New Roman" w:eastAsia="方正仿宋_GBK"/>
                <w:color w:val="auto"/>
                <w:szCs w:val="22"/>
                <w:lang w:val="en-US" w:eastAsia="zh-CN"/>
              </w:rPr>
              <w:t>建</w:t>
            </w:r>
            <w:r>
              <w:rPr>
                <w:rFonts w:hint="eastAsia" w:ascii="方正仿宋_GBK" w:hAnsi="Times New Roman" w:eastAsia="方正仿宋_GBK"/>
                <w:color w:val="auto"/>
                <w:szCs w:val="22"/>
              </w:rPr>
              <w:t>等相关部门指导与监督下，提供真实、有效成本资料，召开座谈会，形成收费标准调整决议，分别报价格主管部门、物业管理行政主管部门办理备案后约定执行。</w:t>
            </w:r>
          </w:p>
          <w:p w14:paraId="48BB12C3">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auto"/>
                <w:szCs w:val="22"/>
              </w:rPr>
              <w:t>2、已交付使用的小区，由物业服务企业提出书面申请，在属地政府[居（村）委会]组织，在会同市价格、市住</w:t>
            </w:r>
            <w:r>
              <w:rPr>
                <w:rFonts w:hint="eastAsia" w:ascii="方正仿宋_GBK" w:hAnsi="Times New Roman" w:eastAsia="方正仿宋_GBK"/>
                <w:color w:val="auto"/>
                <w:szCs w:val="22"/>
                <w:lang w:val="en-US" w:eastAsia="zh-CN"/>
              </w:rPr>
              <w:t>建</w:t>
            </w:r>
            <w:r>
              <w:rPr>
                <w:rFonts w:hint="eastAsia" w:ascii="方正仿宋_GBK" w:hAnsi="Times New Roman" w:eastAsia="方正仿宋_GBK"/>
                <w:color w:val="auto"/>
                <w:szCs w:val="22"/>
              </w:rPr>
              <w:t>等相关部门</w:t>
            </w:r>
            <w:r>
              <w:rPr>
                <w:rFonts w:hint="eastAsia" w:ascii="方正仿宋_GBK" w:hAnsi="Times New Roman" w:eastAsia="方正仿宋_GBK"/>
                <w:color w:val="000000"/>
                <w:szCs w:val="22"/>
              </w:rPr>
              <w:t>指导与监督下，提供公开真实、完整有效的物业服务成本信息，向业主征询意见，达到第十三条规定的双过半同意率，然后召开业主代表大会，形成收费标准调整决议，然后在物业服务区域内公示一周，并分别报价格主管部门、物业管理行政主管部门办理备案后约定执行。</w:t>
            </w:r>
          </w:p>
          <w:p w14:paraId="6DACE9BD">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000000"/>
                <w:szCs w:val="22"/>
              </w:rPr>
              <w:t>（二）、业主大会成立后的住宅小区</w:t>
            </w:r>
          </w:p>
          <w:p w14:paraId="03595358">
            <w:pPr>
              <w:pStyle w:val="11"/>
              <w:shd w:val="clear" w:color="auto" w:fill="FFFFFF"/>
              <w:snapToGrid w:val="0"/>
              <w:spacing w:before="0" w:beforeAutospacing="0" w:after="0" w:afterAutospacing="0" w:line="400" w:lineRule="exact"/>
              <w:ind w:firstLine="480" w:firstLineChars="200"/>
              <w:rPr>
                <w:rFonts w:ascii="方正仿宋_GBK" w:hAnsi="Times New Roman" w:eastAsia="方正仿宋_GBK"/>
                <w:color w:val="000000"/>
                <w:szCs w:val="22"/>
              </w:rPr>
            </w:pPr>
            <w:r>
              <w:rPr>
                <w:rFonts w:hint="eastAsia" w:ascii="方正仿宋_GBK" w:hAnsi="Times New Roman" w:eastAsia="方正仿宋_GBK"/>
                <w:color w:val="000000"/>
                <w:szCs w:val="22"/>
              </w:rPr>
              <w:t>1、已签订物业服务委托合同的小区，其物业公共服务收费标准的调整，由物业服务企业提出书面申请，业主委员会形成决议，经业主大会（代表大会）同意、并在小区内公示一周后约定执行。</w:t>
            </w:r>
          </w:p>
          <w:p w14:paraId="12CE9C20">
            <w:pPr>
              <w:widowControl/>
              <w:snapToGrid w:val="0"/>
              <w:spacing w:line="400" w:lineRule="exact"/>
              <w:ind w:firstLine="480"/>
              <w:rPr>
                <w:rFonts w:ascii="方正仿宋_GBK" w:hAnsi="Times New Roman" w:eastAsia="方正仿宋_GBK"/>
                <w:color w:val="000000"/>
                <w:kern w:val="0"/>
                <w:sz w:val="24"/>
              </w:rPr>
            </w:pPr>
            <w:r>
              <w:rPr>
                <w:rFonts w:hint="eastAsia" w:ascii="方正仿宋_GBK" w:hAnsi="Times New Roman" w:eastAsia="方正仿宋_GBK"/>
                <w:color w:val="000000"/>
                <w:kern w:val="0"/>
                <w:sz w:val="24"/>
              </w:rPr>
              <w:t>2、重新选聘物业服务企业的小区，其物业公共服务收费标准的调整，由业主委员会提出方案并形成决议，经业主大会（代表大会）同意、并在小区内公示一周后，与选聘的物业服务企业在合同中约定执行。</w:t>
            </w:r>
          </w:p>
        </w:tc>
      </w:tr>
    </w:tbl>
    <w:p w14:paraId="78D53A9E">
      <w:pPr>
        <w:widowControl/>
        <w:shd w:val="clear" w:color="auto" w:fill="FFFFFF"/>
        <w:snapToGrid w:val="0"/>
        <w:spacing w:line="560" w:lineRule="exact"/>
        <w:ind w:firstLine="358" w:firstLineChars="128"/>
        <w:rPr>
          <w:rFonts w:ascii="黑体" w:hAnsi="黑体" w:eastAsia="方正黑体_GBK"/>
          <w:color w:val="000000"/>
          <w:kern w:val="0"/>
          <w:sz w:val="28"/>
          <w:szCs w:val="28"/>
        </w:rPr>
      </w:pPr>
    </w:p>
    <w:p w14:paraId="33780DBF">
      <w:pPr>
        <w:widowControl/>
        <w:shd w:val="clear" w:color="auto" w:fill="FFFFFF"/>
        <w:snapToGrid w:val="0"/>
        <w:spacing w:line="560" w:lineRule="exact"/>
        <w:ind w:left="0" w:leftChars="0" w:firstLine="0" w:firstLineChars="0"/>
        <w:rPr>
          <w:rFonts w:ascii="黑体" w:hAnsi="黑体" w:eastAsia="方正黑体_GBK"/>
          <w:color w:val="000000"/>
          <w:kern w:val="0"/>
          <w:sz w:val="28"/>
          <w:szCs w:val="28"/>
        </w:rPr>
      </w:pPr>
    </w:p>
    <w:p w14:paraId="632CD1C0">
      <w:pPr>
        <w:widowControl/>
        <w:shd w:val="clear" w:color="auto" w:fill="FFFFFF"/>
        <w:snapToGrid w:val="0"/>
        <w:spacing w:line="560" w:lineRule="exact"/>
        <w:ind w:firstLine="358" w:firstLineChars="128"/>
        <w:rPr>
          <w:rFonts w:ascii="Times New Roman" w:hAnsi="Times New Roman" w:eastAsia="方正黑体_GBK"/>
          <w:color w:val="000000"/>
          <w:kern w:val="0"/>
          <w:sz w:val="28"/>
          <w:szCs w:val="28"/>
        </w:rPr>
      </w:pPr>
      <w:r>
        <w:rPr>
          <w:rFonts w:ascii="黑体" w:hAnsi="黑体" w:eastAsia="方正黑体_GBK"/>
          <w:color w:val="000000"/>
          <w:kern w:val="0"/>
          <w:sz w:val="28"/>
          <w:szCs w:val="28"/>
        </w:rPr>
        <w:t>附件</w:t>
      </w:r>
      <w:r>
        <w:rPr>
          <w:rFonts w:hint="eastAsia" w:ascii="黑体" w:hAnsi="黑体" w:eastAsia="方正黑体_GBK"/>
          <w:color w:val="000000"/>
          <w:kern w:val="0"/>
          <w:sz w:val="28"/>
          <w:szCs w:val="28"/>
        </w:rPr>
        <w:t>3</w:t>
      </w:r>
    </w:p>
    <w:p w14:paraId="4B2FB9E8">
      <w:pPr>
        <w:widowControl/>
        <w:shd w:val="clear" w:color="auto" w:fill="FFFFFF"/>
        <w:snapToGrid w:val="0"/>
        <w:spacing w:line="560" w:lineRule="exact"/>
        <w:ind w:firstLine="463" w:firstLineChars="128"/>
        <w:jc w:val="center"/>
        <w:rPr>
          <w:rFonts w:ascii="方正黑体_GBK" w:hAnsi="Times New Roman" w:eastAsia="方正黑体_GBK"/>
          <w:b/>
          <w:color w:val="000000"/>
          <w:kern w:val="0"/>
          <w:sz w:val="36"/>
          <w:szCs w:val="36"/>
        </w:rPr>
      </w:pPr>
      <w:r>
        <w:rPr>
          <w:rFonts w:hint="eastAsia" w:ascii="方正黑体_GBK" w:hAnsi="Times New Roman" w:eastAsia="方正黑体_GBK"/>
          <w:b/>
          <w:color w:val="000000"/>
          <w:kern w:val="0"/>
          <w:sz w:val="36"/>
          <w:szCs w:val="36"/>
        </w:rPr>
        <w:t>宜兴市</w:t>
      </w:r>
      <w:r>
        <w:rPr>
          <w:rFonts w:hint="eastAsia" w:ascii="方正黑体_GBK" w:hAnsi="Times New Roman" w:eastAsia="方正黑体_GBK"/>
          <w:b/>
          <w:color w:val="000000"/>
          <w:kern w:val="0"/>
          <w:sz w:val="36"/>
          <w:szCs w:val="36"/>
          <w:lang w:eastAsia="zh-CN"/>
        </w:rPr>
        <w:t>前期</w:t>
      </w:r>
      <w:r>
        <w:rPr>
          <w:rFonts w:hint="eastAsia" w:ascii="方正黑体_GBK" w:hAnsi="Times New Roman" w:eastAsia="方正黑体_GBK"/>
          <w:b/>
          <w:color w:val="000000"/>
          <w:kern w:val="0"/>
          <w:sz w:val="36"/>
          <w:szCs w:val="36"/>
        </w:rPr>
        <w:t>物业服务收费报备情况登记表</w:t>
      </w:r>
    </w:p>
    <w:p w14:paraId="3BDDC9CB">
      <w:pPr>
        <w:widowControl/>
        <w:shd w:val="clear" w:color="auto" w:fill="FFFFFF"/>
        <w:snapToGrid w:val="0"/>
        <w:spacing w:line="560" w:lineRule="exact"/>
        <w:ind w:firstLine="149" w:firstLineChars="62"/>
        <w:rPr>
          <w:rFonts w:ascii="Times New Roman" w:hAnsi="Times New Roman"/>
          <w:b/>
          <w:color w:val="000000"/>
          <w:kern w:val="0"/>
          <w:sz w:val="24"/>
          <w:szCs w:val="24"/>
        </w:rPr>
      </w:pPr>
    </w:p>
    <w:tbl>
      <w:tblPr>
        <w:tblStyle w:val="13"/>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0" w:type="dxa"/>
          <w:bottom w:w="0" w:type="dxa"/>
          <w:right w:w="0" w:type="dxa"/>
        </w:tblCellMar>
      </w:tblPr>
      <w:tblGrid>
        <w:gridCol w:w="2551"/>
        <w:gridCol w:w="2266"/>
        <w:gridCol w:w="2324"/>
        <w:gridCol w:w="2127"/>
      </w:tblGrid>
      <w:tr w14:paraId="68970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8" w:hRule="atLeast"/>
          <w:tblCellSpacing w:w="0" w:type="dxa"/>
        </w:trPr>
        <w:tc>
          <w:tcPr>
            <w:tcW w:w="2551" w:type="dxa"/>
            <w:shd w:val="clear" w:color="auto" w:fill="FFFFFF"/>
            <w:vAlign w:val="center"/>
          </w:tcPr>
          <w:p w14:paraId="1005A94C">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物业服务企业名称</w:t>
            </w:r>
          </w:p>
          <w:p w14:paraId="19EE419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（盖章）</w:t>
            </w:r>
          </w:p>
        </w:tc>
        <w:tc>
          <w:tcPr>
            <w:tcW w:w="6717" w:type="dxa"/>
            <w:gridSpan w:val="3"/>
            <w:shd w:val="clear" w:color="auto" w:fill="FFFFFF"/>
            <w:vAlign w:val="center"/>
          </w:tcPr>
          <w:p w14:paraId="20C0181E">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24310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blCellSpacing w:w="0" w:type="dxa"/>
        </w:trPr>
        <w:tc>
          <w:tcPr>
            <w:tcW w:w="2551" w:type="dxa"/>
            <w:shd w:val="clear" w:color="auto" w:fill="FFFFFF"/>
            <w:vAlign w:val="center"/>
          </w:tcPr>
          <w:p w14:paraId="6C471900">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企</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业</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地</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址</w:t>
            </w:r>
          </w:p>
        </w:tc>
        <w:tc>
          <w:tcPr>
            <w:tcW w:w="2266" w:type="dxa"/>
            <w:shd w:val="clear" w:color="auto" w:fill="FFFFFF"/>
            <w:vAlign w:val="center"/>
          </w:tcPr>
          <w:p w14:paraId="053ED3BA">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268323C2">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法</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人</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代</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表</w:t>
            </w:r>
          </w:p>
        </w:tc>
        <w:tc>
          <w:tcPr>
            <w:tcW w:w="2127" w:type="dxa"/>
            <w:shd w:val="clear" w:color="auto" w:fill="FFFFFF"/>
            <w:vAlign w:val="center"/>
          </w:tcPr>
          <w:p w14:paraId="2BB791F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3F5E7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6978C3A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企 业 资 质 证 号</w:t>
            </w:r>
          </w:p>
        </w:tc>
        <w:tc>
          <w:tcPr>
            <w:tcW w:w="2266" w:type="dxa"/>
            <w:shd w:val="clear" w:color="auto" w:fill="FFFFFF"/>
            <w:vAlign w:val="center"/>
          </w:tcPr>
          <w:p w14:paraId="7BA9C88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7AF54202">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资</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质</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等</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级</w:t>
            </w:r>
          </w:p>
        </w:tc>
        <w:tc>
          <w:tcPr>
            <w:tcW w:w="2127" w:type="dxa"/>
            <w:shd w:val="clear" w:color="auto" w:fill="FFFFFF"/>
            <w:vAlign w:val="center"/>
          </w:tcPr>
          <w:p w14:paraId="69C84B10">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42287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171D15D0">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住 宅 区 名 称</w:t>
            </w:r>
          </w:p>
        </w:tc>
        <w:tc>
          <w:tcPr>
            <w:tcW w:w="2266" w:type="dxa"/>
            <w:shd w:val="clear" w:color="auto" w:fill="FFFFFF"/>
            <w:vAlign w:val="center"/>
          </w:tcPr>
          <w:p w14:paraId="53AAAC3C">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6D3218C5">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立</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项</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性</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质</w:t>
            </w:r>
          </w:p>
        </w:tc>
        <w:tc>
          <w:tcPr>
            <w:tcW w:w="2127" w:type="dxa"/>
            <w:shd w:val="clear" w:color="auto" w:fill="FFFFFF"/>
            <w:vAlign w:val="center"/>
          </w:tcPr>
          <w:p w14:paraId="71468FF7">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21803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blCellSpacing w:w="0" w:type="dxa"/>
        </w:trPr>
        <w:tc>
          <w:tcPr>
            <w:tcW w:w="2551" w:type="dxa"/>
            <w:shd w:val="clear" w:color="auto" w:fill="FFFFFF"/>
            <w:vAlign w:val="center"/>
          </w:tcPr>
          <w:p w14:paraId="089C9B0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负 责 人 姓 名</w:t>
            </w:r>
          </w:p>
        </w:tc>
        <w:tc>
          <w:tcPr>
            <w:tcW w:w="2266" w:type="dxa"/>
            <w:shd w:val="clear" w:color="auto" w:fill="FFFFFF"/>
            <w:vAlign w:val="center"/>
          </w:tcPr>
          <w:p w14:paraId="06A14EC5">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36BDC39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联</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系</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电</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话</w:t>
            </w:r>
          </w:p>
        </w:tc>
        <w:tc>
          <w:tcPr>
            <w:tcW w:w="2127" w:type="dxa"/>
            <w:shd w:val="clear" w:color="auto" w:fill="FFFFFF"/>
            <w:vAlign w:val="center"/>
          </w:tcPr>
          <w:p w14:paraId="48E4BA6D">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6A90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5947EEB9">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物 业 服 务 等 级</w:t>
            </w:r>
          </w:p>
        </w:tc>
        <w:tc>
          <w:tcPr>
            <w:tcW w:w="2266" w:type="dxa"/>
            <w:shd w:val="clear" w:color="auto" w:fill="FFFFFF"/>
            <w:vAlign w:val="center"/>
          </w:tcPr>
          <w:p w14:paraId="1DBE01B9">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683A01E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收</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费</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标</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准</w:t>
            </w:r>
          </w:p>
        </w:tc>
        <w:tc>
          <w:tcPr>
            <w:tcW w:w="2127" w:type="dxa"/>
            <w:shd w:val="clear" w:color="auto" w:fill="FFFFFF"/>
            <w:vAlign w:val="center"/>
          </w:tcPr>
          <w:p w14:paraId="7CAA90C7">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FD4B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70ECF973">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电梯使用费标准</w:t>
            </w:r>
          </w:p>
        </w:tc>
        <w:tc>
          <w:tcPr>
            <w:tcW w:w="2266" w:type="dxa"/>
            <w:shd w:val="clear" w:color="auto" w:fill="FFFFFF"/>
            <w:vAlign w:val="center"/>
          </w:tcPr>
          <w:p w14:paraId="5C8AD782">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341EC29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公共水电费标准</w:t>
            </w:r>
          </w:p>
        </w:tc>
        <w:tc>
          <w:tcPr>
            <w:tcW w:w="2127" w:type="dxa"/>
            <w:shd w:val="clear" w:color="auto" w:fill="FFFFFF"/>
            <w:vAlign w:val="center"/>
          </w:tcPr>
          <w:p w14:paraId="64A2B5CD">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35EA2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blCellSpacing w:w="0" w:type="dxa"/>
        </w:trPr>
        <w:tc>
          <w:tcPr>
            <w:tcW w:w="2551" w:type="dxa"/>
            <w:shd w:val="clear" w:color="auto" w:fill="FFFFFF"/>
            <w:vAlign w:val="center"/>
          </w:tcPr>
          <w:p w14:paraId="6215AB4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住宅区建设单位</w:t>
            </w:r>
          </w:p>
        </w:tc>
        <w:tc>
          <w:tcPr>
            <w:tcW w:w="6717" w:type="dxa"/>
            <w:gridSpan w:val="3"/>
            <w:shd w:val="clear" w:color="auto" w:fill="FFFFFF"/>
            <w:vAlign w:val="center"/>
          </w:tcPr>
          <w:p w14:paraId="258A46D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5BB29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6FC3451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住宅区占地面积</w:t>
            </w:r>
          </w:p>
        </w:tc>
        <w:tc>
          <w:tcPr>
            <w:tcW w:w="6717" w:type="dxa"/>
            <w:gridSpan w:val="3"/>
            <w:shd w:val="clear" w:color="auto" w:fill="FFFFFF"/>
            <w:vAlign w:val="center"/>
          </w:tcPr>
          <w:p w14:paraId="3658AD88">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3DD78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vMerge w:val="restart"/>
            <w:shd w:val="clear" w:color="auto" w:fill="FFFFFF"/>
            <w:vAlign w:val="center"/>
          </w:tcPr>
          <w:p w14:paraId="107040D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总 建 筑 面 积</w:t>
            </w:r>
          </w:p>
        </w:tc>
        <w:tc>
          <w:tcPr>
            <w:tcW w:w="2266" w:type="dxa"/>
            <w:vMerge w:val="restart"/>
            <w:shd w:val="clear" w:color="auto" w:fill="FFFFFF"/>
            <w:vAlign w:val="center"/>
          </w:tcPr>
          <w:p w14:paraId="6E55E3D7">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00D90C65">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住宅面积</w:t>
            </w:r>
          </w:p>
        </w:tc>
        <w:tc>
          <w:tcPr>
            <w:tcW w:w="2127" w:type="dxa"/>
            <w:shd w:val="clear" w:color="auto" w:fill="FFFFFF"/>
            <w:vAlign w:val="center"/>
          </w:tcPr>
          <w:p w14:paraId="683102C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054A2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537FBE5E">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26BD16F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1C505E90">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经营用房面积</w:t>
            </w:r>
          </w:p>
        </w:tc>
        <w:tc>
          <w:tcPr>
            <w:tcW w:w="2127" w:type="dxa"/>
            <w:shd w:val="clear" w:color="auto" w:fill="FFFFFF"/>
            <w:vAlign w:val="center"/>
          </w:tcPr>
          <w:p w14:paraId="2E154306">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D017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0FF74EFE">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338F6E6E">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10DF11F7">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配套用房面积</w:t>
            </w:r>
          </w:p>
        </w:tc>
        <w:tc>
          <w:tcPr>
            <w:tcW w:w="2127" w:type="dxa"/>
            <w:shd w:val="clear" w:color="auto" w:fill="FFFFFF"/>
            <w:vAlign w:val="center"/>
          </w:tcPr>
          <w:p w14:paraId="21BEF45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39AB4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5E19293D">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62DE4DDB">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6E5AB78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办公用房面积</w:t>
            </w:r>
          </w:p>
        </w:tc>
        <w:tc>
          <w:tcPr>
            <w:tcW w:w="2127" w:type="dxa"/>
            <w:shd w:val="clear" w:color="auto" w:fill="FFFFFF"/>
            <w:vAlign w:val="center"/>
          </w:tcPr>
          <w:p w14:paraId="545AAA13">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37A8B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2E481DBA">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6F37AE38">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63331106">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室内汽车库面积</w:t>
            </w:r>
          </w:p>
        </w:tc>
        <w:tc>
          <w:tcPr>
            <w:tcW w:w="2127" w:type="dxa"/>
            <w:shd w:val="clear" w:color="auto" w:fill="FFFFFF"/>
            <w:vAlign w:val="center"/>
          </w:tcPr>
          <w:p w14:paraId="63387FD2">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FCC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28A772AC">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79D25E33">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0D79072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其他车库面积</w:t>
            </w:r>
          </w:p>
        </w:tc>
        <w:tc>
          <w:tcPr>
            <w:tcW w:w="2127" w:type="dxa"/>
            <w:shd w:val="clear" w:color="auto" w:fill="FFFFFF"/>
            <w:vAlign w:val="center"/>
          </w:tcPr>
          <w:p w14:paraId="5C6B4D5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08AA1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 w:hRule="atLeast"/>
          <w:tblCellSpacing w:w="0" w:type="dxa"/>
        </w:trPr>
        <w:tc>
          <w:tcPr>
            <w:tcW w:w="2551" w:type="dxa"/>
            <w:vMerge w:val="continue"/>
            <w:shd w:val="clear" w:color="auto" w:fill="FFFFFF"/>
            <w:vAlign w:val="center"/>
          </w:tcPr>
          <w:p w14:paraId="4E8B49E5">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266" w:type="dxa"/>
            <w:vMerge w:val="continue"/>
            <w:shd w:val="clear" w:color="auto" w:fill="FFFFFF"/>
            <w:vAlign w:val="center"/>
          </w:tcPr>
          <w:p w14:paraId="0317B38C">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1EBC847B">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其他房屋面积</w:t>
            </w:r>
          </w:p>
        </w:tc>
        <w:tc>
          <w:tcPr>
            <w:tcW w:w="2127" w:type="dxa"/>
            <w:shd w:val="clear" w:color="auto" w:fill="FFFFFF"/>
            <w:vAlign w:val="center"/>
          </w:tcPr>
          <w:p w14:paraId="1F986B9B">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19FC5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blCellSpacing w:w="0" w:type="dxa"/>
        </w:trPr>
        <w:tc>
          <w:tcPr>
            <w:tcW w:w="2551" w:type="dxa"/>
            <w:shd w:val="clear" w:color="auto" w:fill="FFFFFF"/>
            <w:vAlign w:val="center"/>
          </w:tcPr>
          <w:p w14:paraId="7D6384C6">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容</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积     率</w:t>
            </w:r>
          </w:p>
        </w:tc>
        <w:tc>
          <w:tcPr>
            <w:tcW w:w="2266" w:type="dxa"/>
            <w:shd w:val="clear" w:color="auto" w:fill="FFFFFF"/>
            <w:vAlign w:val="center"/>
          </w:tcPr>
          <w:p w14:paraId="633EBAEA">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6CD6A6CB">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绿</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化</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率</w:t>
            </w:r>
          </w:p>
        </w:tc>
        <w:tc>
          <w:tcPr>
            <w:tcW w:w="2127" w:type="dxa"/>
            <w:shd w:val="clear" w:color="auto" w:fill="FFFFFF"/>
            <w:vAlign w:val="center"/>
          </w:tcPr>
          <w:p w14:paraId="0FA5809D">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E5F4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09B79C4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低</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层</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幢</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266" w:type="dxa"/>
            <w:shd w:val="clear" w:color="auto" w:fill="FFFFFF"/>
            <w:vAlign w:val="center"/>
          </w:tcPr>
          <w:p w14:paraId="0377E192">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3EABA76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户</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127" w:type="dxa"/>
            <w:shd w:val="clear" w:color="auto" w:fill="FFFFFF"/>
            <w:vAlign w:val="center"/>
          </w:tcPr>
          <w:p w14:paraId="3FC71F40">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27079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0D898A3A">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多</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层</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幢</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266" w:type="dxa"/>
            <w:shd w:val="clear" w:color="auto" w:fill="FFFFFF"/>
            <w:vAlign w:val="center"/>
          </w:tcPr>
          <w:p w14:paraId="0F04D15F">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22A3A613">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户</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127" w:type="dxa"/>
            <w:shd w:val="clear" w:color="auto" w:fill="FFFFFF"/>
            <w:vAlign w:val="center"/>
          </w:tcPr>
          <w:p w14:paraId="08B69927">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126A9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blCellSpacing w:w="0" w:type="dxa"/>
        </w:trPr>
        <w:tc>
          <w:tcPr>
            <w:tcW w:w="2551" w:type="dxa"/>
            <w:shd w:val="clear" w:color="auto" w:fill="FFFFFF"/>
            <w:vAlign w:val="center"/>
          </w:tcPr>
          <w:p w14:paraId="01FD4C4B">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高</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层</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幢</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266" w:type="dxa"/>
            <w:shd w:val="clear" w:color="auto" w:fill="FFFFFF"/>
            <w:vAlign w:val="center"/>
          </w:tcPr>
          <w:p w14:paraId="0F7B7C03">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shd w:val="clear" w:color="auto" w:fill="FFFFFF"/>
            <w:vAlign w:val="center"/>
          </w:tcPr>
          <w:p w14:paraId="41F8C9E4">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户</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p>
        </w:tc>
        <w:tc>
          <w:tcPr>
            <w:tcW w:w="2127" w:type="dxa"/>
            <w:shd w:val="clear" w:color="auto" w:fill="FFFFFF"/>
            <w:vAlign w:val="center"/>
          </w:tcPr>
          <w:p w14:paraId="0FE8C308">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7B5C2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 w:hRule="atLeast"/>
          <w:tblCellSpacing w:w="0" w:type="dxa"/>
        </w:trPr>
        <w:tc>
          <w:tcPr>
            <w:tcW w:w="2551" w:type="dxa"/>
            <w:shd w:val="clear" w:color="auto" w:fill="FFFFFF"/>
            <w:vAlign w:val="center"/>
          </w:tcPr>
          <w:p w14:paraId="5960E8BC">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电</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梯</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数</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量</w:t>
            </w:r>
          </w:p>
        </w:tc>
        <w:tc>
          <w:tcPr>
            <w:tcW w:w="2266" w:type="dxa"/>
            <w:shd w:val="clear" w:color="auto" w:fill="FFFFFF"/>
            <w:vAlign w:val="center"/>
          </w:tcPr>
          <w:p w14:paraId="6062324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c>
          <w:tcPr>
            <w:tcW w:w="2324" w:type="dxa"/>
            <w:tcBorders>
              <w:right w:val="single" w:color="auto" w:sz="4" w:space="0"/>
            </w:tcBorders>
            <w:shd w:val="clear" w:color="auto" w:fill="FFFFFF"/>
            <w:vAlign w:val="center"/>
          </w:tcPr>
          <w:p w14:paraId="4659D1F1">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梯</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w:t>
            </w:r>
            <w:r>
              <w:rPr>
                <w:rFonts w:hint="eastAsia" w:ascii="Times New Roman" w:hAnsi="Times New Roman" w:eastAsia="方正仿宋_GBK"/>
                <w:color w:val="000000"/>
                <w:kern w:val="0"/>
                <w:sz w:val="24"/>
                <w:szCs w:val="24"/>
              </w:rPr>
              <w:t> </w:t>
            </w:r>
            <w:r>
              <w:rPr>
                <w:rFonts w:hint="eastAsia" w:ascii="方正仿宋_GBK" w:hAnsi="Times New Roman" w:eastAsia="方正仿宋_GBK"/>
                <w:color w:val="000000"/>
                <w:kern w:val="0"/>
                <w:sz w:val="24"/>
                <w:szCs w:val="24"/>
              </w:rPr>
              <w:t xml:space="preserve"> 户</w:t>
            </w:r>
          </w:p>
        </w:tc>
        <w:tc>
          <w:tcPr>
            <w:tcW w:w="2127" w:type="dxa"/>
            <w:tcBorders>
              <w:left w:val="single" w:color="auto" w:sz="4" w:space="0"/>
            </w:tcBorders>
            <w:shd w:val="clear" w:color="auto" w:fill="FFFFFF"/>
            <w:vAlign w:val="center"/>
          </w:tcPr>
          <w:p w14:paraId="627403D5">
            <w:pPr>
              <w:widowControl/>
              <w:adjustRightInd w:val="0"/>
              <w:snapToGrid w:val="0"/>
              <w:spacing w:line="400" w:lineRule="exact"/>
              <w:ind w:firstLine="0" w:firstLineChars="0"/>
              <w:jc w:val="center"/>
              <w:rPr>
                <w:rFonts w:ascii="方正仿宋_GBK" w:hAnsi="Times New Roman" w:eastAsia="方正仿宋_GBK"/>
                <w:color w:val="000000"/>
                <w:kern w:val="0"/>
                <w:sz w:val="24"/>
                <w:szCs w:val="24"/>
              </w:rPr>
            </w:pPr>
          </w:p>
        </w:tc>
      </w:tr>
      <w:tr w14:paraId="188E2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blCellSpacing w:w="0" w:type="dxa"/>
        </w:trPr>
        <w:tc>
          <w:tcPr>
            <w:tcW w:w="9268" w:type="dxa"/>
            <w:gridSpan w:val="4"/>
            <w:shd w:val="clear" w:color="auto" w:fill="FFFFFF"/>
            <w:vAlign w:val="center"/>
          </w:tcPr>
          <w:p w14:paraId="2CF65594">
            <w:pPr>
              <w:widowControl/>
              <w:adjustRightInd w:val="0"/>
              <w:snapToGrid w:val="0"/>
              <w:spacing w:line="480" w:lineRule="exact"/>
              <w:ind w:firstLine="307" w:firstLineChars="128"/>
              <w:rPr>
                <w:rFonts w:ascii="方正仿宋_GBK" w:hAnsi="Times New Roman" w:eastAsia="方正仿宋_GBK"/>
                <w:color w:val="000000"/>
                <w:kern w:val="0"/>
                <w:sz w:val="24"/>
                <w:szCs w:val="24"/>
              </w:rPr>
            </w:pPr>
            <w:r>
              <w:rPr>
                <w:rFonts w:hint="eastAsia" w:ascii="方正仿宋_GBK" w:hAnsi="Times New Roman" w:eastAsia="方正仿宋_GBK"/>
                <w:color w:val="000000"/>
                <w:kern w:val="0"/>
                <w:sz w:val="24"/>
                <w:szCs w:val="24"/>
              </w:rPr>
              <w:t>备注：</w:t>
            </w:r>
          </w:p>
        </w:tc>
      </w:tr>
    </w:tbl>
    <w:p w14:paraId="0FA9F0C6">
      <w:pPr>
        <w:widowControl/>
        <w:shd w:val="clear" w:color="auto" w:fill="FFFFFF"/>
        <w:snapToGrid w:val="0"/>
        <w:spacing w:line="560" w:lineRule="exact"/>
        <w:ind w:firstLine="307" w:firstLineChars="128"/>
        <w:jc w:val="left"/>
        <w:rPr>
          <w:rFonts w:ascii="方正仿宋_GBK" w:hAnsi="Times New Roman" w:eastAsia="方正仿宋_GBK"/>
          <w:color w:val="000000"/>
          <w:kern w:val="0"/>
          <w:sz w:val="24"/>
          <w:szCs w:val="24"/>
        </w:rPr>
      </w:pPr>
      <w:r>
        <w:rPr>
          <w:rFonts w:hint="eastAsia" w:ascii="方正仿宋_GBK" w:hAnsi="Times New Roman" w:eastAsia="方正仿宋_GBK"/>
          <w:kern w:val="0"/>
          <w:sz w:val="24"/>
          <w:szCs w:val="24"/>
        </w:rPr>
        <w:t>注：同一住宅区内，如每幢层数不同，请在备注中说明。</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701"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3887">
    <w:pPr>
      <w:pStyle w:val="9"/>
      <w:framePr w:wrap="around" w:vAnchor="text" w:hAnchor="margin" w:xAlign="outside" w:y="1"/>
      <w:ind w:firstLine="420"/>
      <w:rPr>
        <w:rStyle w:val="16"/>
        <w:sz w:val="21"/>
        <w:szCs w:val="21"/>
      </w:rPr>
    </w:pPr>
    <w:r>
      <w:rPr>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- 6 -</w:t>
    </w:r>
    <w:r>
      <w:rPr>
        <w:sz w:val="21"/>
        <w:szCs w:val="21"/>
      </w:rPr>
      <w:fldChar w:fldCharType="end"/>
    </w:r>
  </w:p>
  <w:p w14:paraId="30C78712">
    <w:pPr>
      <w:pStyle w:val="9"/>
      <w:framePr w:wrap="around" w:vAnchor="text" w:hAnchor="margin" w:xAlign="inside" w:y="1"/>
      <w:ind w:right="360" w:firstLine="360" w:firstLineChars="0"/>
      <w:rPr>
        <w:rStyle w:val="16"/>
        <w:sz w:val="21"/>
        <w:szCs w:val="21"/>
      </w:rPr>
    </w:pPr>
  </w:p>
  <w:p w14:paraId="1379D94B">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F92D">
    <w:pPr>
      <w:pStyle w:val="9"/>
      <w:framePr w:wrap="around" w:vAnchor="text" w:hAnchor="margin" w:xAlign="outside" w:y="1"/>
      <w:ind w:firstLine="420"/>
      <w:rPr>
        <w:rStyle w:val="16"/>
        <w:sz w:val="21"/>
        <w:szCs w:val="21"/>
      </w:rPr>
    </w:pPr>
    <w:r>
      <w:rPr>
        <w:sz w:val="21"/>
        <w:szCs w:val="21"/>
      </w:rPr>
      <w:fldChar w:fldCharType="begin"/>
    </w:r>
    <w:r>
      <w:rPr>
        <w:rStyle w:val="16"/>
        <w:sz w:val="21"/>
        <w:szCs w:val="21"/>
      </w:rPr>
      <w:instrText xml:space="preserve">PAGE  </w:instrText>
    </w:r>
    <w:r>
      <w:rPr>
        <w:sz w:val="21"/>
        <w:szCs w:val="21"/>
      </w:rPr>
      <w:fldChar w:fldCharType="separate"/>
    </w:r>
    <w:r>
      <w:rPr>
        <w:rStyle w:val="16"/>
        <w:sz w:val="21"/>
        <w:szCs w:val="21"/>
      </w:rPr>
      <w:t>- 4 -</w:t>
    </w:r>
    <w:r>
      <w:rPr>
        <w:sz w:val="21"/>
        <w:szCs w:val="21"/>
      </w:rPr>
      <w:fldChar w:fldCharType="end"/>
    </w:r>
  </w:p>
  <w:p w14:paraId="62D9AE66">
    <w:pPr>
      <w:pStyle w:val="9"/>
      <w:ind w:right="360" w:firstLine="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8A11">
    <w:pPr>
      <w:pStyle w:val="9"/>
      <w:ind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891C">
    <w:pPr>
      <w:ind w:firstLine="42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5244">
    <w:pPr>
      <w:ind w:firstLine="42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5399">
    <w:pPr>
      <w:ind w:firstLine="42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2EE64"/>
    <w:multiLevelType w:val="singleLevel"/>
    <w:tmpl w:val="9072EE64"/>
    <w:lvl w:ilvl="0" w:tentative="0">
      <w:start w:val="6"/>
      <w:numFmt w:val="chineseCounting"/>
      <w:suff w:val="space"/>
      <w:lvlText w:val="第%1章"/>
      <w:lvlJc w:val="left"/>
      <w:rPr>
        <w:rFonts w:hint="eastAsia"/>
      </w:rPr>
    </w:lvl>
  </w:abstractNum>
  <w:abstractNum w:abstractNumId="1">
    <w:nsid w:val="348850E3"/>
    <w:multiLevelType w:val="singleLevel"/>
    <w:tmpl w:val="348850E3"/>
    <w:lvl w:ilvl="0" w:tentative="0">
      <w:start w:val="1"/>
      <w:numFmt w:val="decimal"/>
      <w:suff w:val="nothing"/>
      <w:lvlText w:val="%1、"/>
      <w:lvlJc w:val="left"/>
    </w:lvl>
  </w:abstractNum>
  <w:abstractNum w:abstractNumId="2">
    <w:nsid w:val="594E4F17"/>
    <w:multiLevelType w:val="singleLevel"/>
    <w:tmpl w:val="594E4F1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E6"/>
    <w:rsid w:val="000554B8"/>
    <w:rsid w:val="00061182"/>
    <w:rsid w:val="00071277"/>
    <w:rsid w:val="00091A0D"/>
    <w:rsid w:val="000B40E6"/>
    <w:rsid w:val="000B7F92"/>
    <w:rsid w:val="000E1474"/>
    <w:rsid w:val="00111C97"/>
    <w:rsid w:val="0014567A"/>
    <w:rsid w:val="00196CB5"/>
    <w:rsid w:val="001D5DCB"/>
    <w:rsid w:val="001F467B"/>
    <w:rsid w:val="001F66E1"/>
    <w:rsid w:val="0021149D"/>
    <w:rsid w:val="00244F2D"/>
    <w:rsid w:val="00247D2F"/>
    <w:rsid w:val="00293B70"/>
    <w:rsid w:val="00297281"/>
    <w:rsid w:val="002A53DC"/>
    <w:rsid w:val="002F4A28"/>
    <w:rsid w:val="0031620D"/>
    <w:rsid w:val="00316A27"/>
    <w:rsid w:val="003417FC"/>
    <w:rsid w:val="003512A2"/>
    <w:rsid w:val="00376B93"/>
    <w:rsid w:val="00385923"/>
    <w:rsid w:val="00385E5A"/>
    <w:rsid w:val="0039095C"/>
    <w:rsid w:val="00404CE8"/>
    <w:rsid w:val="0042652E"/>
    <w:rsid w:val="004C49D9"/>
    <w:rsid w:val="004D7EC3"/>
    <w:rsid w:val="00512742"/>
    <w:rsid w:val="00566AED"/>
    <w:rsid w:val="00571DEC"/>
    <w:rsid w:val="00592BAD"/>
    <w:rsid w:val="005A3BDF"/>
    <w:rsid w:val="005B79F0"/>
    <w:rsid w:val="00601D6A"/>
    <w:rsid w:val="00607C13"/>
    <w:rsid w:val="00644A31"/>
    <w:rsid w:val="006862CD"/>
    <w:rsid w:val="0068714E"/>
    <w:rsid w:val="006A22D3"/>
    <w:rsid w:val="006A5FBB"/>
    <w:rsid w:val="006A6537"/>
    <w:rsid w:val="006B4ABA"/>
    <w:rsid w:val="006C7C71"/>
    <w:rsid w:val="006D7AD7"/>
    <w:rsid w:val="0072749F"/>
    <w:rsid w:val="00751173"/>
    <w:rsid w:val="007750AA"/>
    <w:rsid w:val="007A6D4B"/>
    <w:rsid w:val="00843705"/>
    <w:rsid w:val="00847B92"/>
    <w:rsid w:val="0088423E"/>
    <w:rsid w:val="00895325"/>
    <w:rsid w:val="008976C3"/>
    <w:rsid w:val="008D5AF9"/>
    <w:rsid w:val="00910E83"/>
    <w:rsid w:val="009227F4"/>
    <w:rsid w:val="00990DC2"/>
    <w:rsid w:val="0099249A"/>
    <w:rsid w:val="00992B0D"/>
    <w:rsid w:val="009B1ABF"/>
    <w:rsid w:val="009F0C1D"/>
    <w:rsid w:val="00A01503"/>
    <w:rsid w:val="00A044E9"/>
    <w:rsid w:val="00A1244C"/>
    <w:rsid w:val="00A61509"/>
    <w:rsid w:val="00A640EA"/>
    <w:rsid w:val="00A6608D"/>
    <w:rsid w:val="00A81011"/>
    <w:rsid w:val="00A941FD"/>
    <w:rsid w:val="00AB0F41"/>
    <w:rsid w:val="00AC4044"/>
    <w:rsid w:val="00B3245E"/>
    <w:rsid w:val="00B3312F"/>
    <w:rsid w:val="00B45E6E"/>
    <w:rsid w:val="00B63E64"/>
    <w:rsid w:val="00B75F4A"/>
    <w:rsid w:val="00BA0314"/>
    <w:rsid w:val="00BC484D"/>
    <w:rsid w:val="00BF2C39"/>
    <w:rsid w:val="00C030C5"/>
    <w:rsid w:val="00C050FF"/>
    <w:rsid w:val="00C12C49"/>
    <w:rsid w:val="00C268A5"/>
    <w:rsid w:val="00C277BB"/>
    <w:rsid w:val="00C32C06"/>
    <w:rsid w:val="00C83655"/>
    <w:rsid w:val="00CA1A97"/>
    <w:rsid w:val="00CC6DC5"/>
    <w:rsid w:val="00CE2138"/>
    <w:rsid w:val="00CE5012"/>
    <w:rsid w:val="00D42FA7"/>
    <w:rsid w:val="00D846E2"/>
    <w:rsid w:val="00D86D04"/>
    <w:rsid w:val="00D87720"/>
    <w:rsid w:val="00DA4D28"/>
    <w:rsid w:val="00DC3627"/>
    <w:rsid w:val="00DF465C"/>
    <w:rsid w:val="00E2040E"/>
    <w:rsid w:val="00E227A7"/>
    <w:rsid w:val="00E306E1"/>
    <w:rsid w:val="00E353D4"/>
    <w:rsid w:val="00E50E0C"/>
    <w:rsid w:val="00E651A2"/>
    <w:rsid w:val="00ED01A2"/>
    <w:rsid w:val="00F6229A"/>
    <w:rsid w:val="00F64DB3"/>
    <w:rsid w:val="017B08E5"/>
    <w:rsid w:val="03177D4A"/>
    <w:rsid w:val="04E83035"/>
    <w:rsid w:val="076C39DB"/>
    <w:rsid w:val="08AD2F24"/>
    <w:rsid w:val="0C395518"/>
    <w:rsid w:val="0FC43A09"/>
    <w:rsid w:val="12402D6D"/>
    <w:rsid w:val="155B7168"/>
    <w:rsid w:val="1633222C"/>
    <w:rsid w:val="1BE279C2"/>
    <w:rsid w:val="23F726CC"/>
    <w:rsid w:val="28F43FB4"/>
    <w:rsid w:val="2C18136E"/>
    <w:rsid w:val="335E157D"/>
    <w:rsid w:val="359F5D04"/>
    <w:rsid w:val="3A7B3C92"/>
    <w:rsid w:val="3A816B64"/>
    <w:rsid w:val="3C3C65DE"/>
    <w:rsid w:val="3C7C43EB"/>
    <w:rsid w:val="3F506956"/>
    <w:rsid w:val="41236412"/>
    <w:rsid w:val="43E12F9E"/>
    <w:rsid w:val="4C060D9B"/>
    <w:rsid w:val="4C2168EC"/>
    <w:rsid w:val="4C3A2196"/>
    <w:rsid w:val="4C427866"/>
    <w:rsid w:val="4CEE0DFB"/>
    <w:rsid w:val="4ED41501"/>
    <w:rsid w:val="503500A5"/>
    <w:rsid w:val="57CE0CCD"/>
    <w:rsid w:val="5858757E"/>
    <w:rsid w:val="5ACE3C45"/>
    <w:rsid w:val="5B3F1C1E"/>
    <w:rsid w:val="5CF357BD"/>
    <w:rsid w:val="5D23545A"/>
    <w:rsid w:val="6045578F"/>
    <w:rsid w:val="640D4581"/>
    <w:rsid w:val="64983E1E"/>
    <w:rsid w:val="64CE36C4"/>
    <w:rsid w:val="6516377C"/>
    <w:rsid w:val="670F6491"/>
    <w:rsid w:val="67E900A7"/>
    <w:rsid w:val="67FE01D8"/>
    <w:rsid w:val="681F4A04"/>
    <w:rsid w:val="6B354C2E"/>
    <w:rsid w:val="6C8A4874"/>
    <w:rsid w:val="6CB82E17"/>
    <w:rsid w:val="6E8F5047"/>
    <w:rsid w:val="6E974984"/>
    <w:rsid w:val="70A94877"/>
    <w:rsid w:val="72A85A6B"/>
    <w:rsid w:val="730A5E91"/>
    <w:rsid w:val="731A657F"/>
    <w:rsid w:val="739F3B6E"/>
    <w:rsid w:val="773C59DB"/>
    <w:rsid w:val="77C268E2"/>
    <w:rsid w:val="77F03925"/>
    <w:rsid w:val="7D5A4328"/>
    <w:rsid w:val="7DFF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19"/>
    <w:qFormat/>
    <w:uiPriority w:val="0"/>
    <w:pPr>
      <w:widowControl/>
      <w:spacing w:before="100" w:beforeAutospacing="1" w:after="100" w:afterAutospacing="1" w:line="240" w:lineRule="auto"/>
      <w:ind w:firstLine="0" w:firstLineChars="0"/>
      <w:jc w:val="left"/>
      <w:outlineLvl w:val="1"/>
    </w:pPr>
    <w:rPr>
      <w:rFonts w:ascii="宋体" w:hAnsi="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3"/>
    <w:semiHidden/>
    <w:unhideWhenUsed/>
    <w:qFormat/>
    <w:uiPriority w:val="99"/>
    <w:pPr>
      <w:jc w:val="left"/>
    </w:pPr>
  </w:style>
  <w:style w:type="paragraph" w:styleId="5">
    <w:name w:val="Body Text"/>
    <w:basedOn w:val="1"/>
    <w:link w:val="25"/>
    <w:qFormat/>
    <w:uiPriority w:val="0"/>
    <w:pPr>
      <w:spacing w:after="120"/>
    </w:pPr>
  </w:style>
  <w:style w:type="paragraph" w:styleId="6">
    <w:name w:val="Body Text Indent"/>
    <w:basedOn w:val="1"/>
    <w:link w:val="26"/>
    <w:qFormat/>
    <w:uiPriority w:val="0"/>
    <w:pPr>
      <w:spacing w:line="576" w:lineRule="exact"/>
      <w:ind w:firstLine="640"/>
    </w:pPr>
    <w:rPr>
      <w:rFonts w:ascii="方正仿宋_GBK" w:hAnsi="黑体" w:eastAsia="方正仿宋_GBK"/>
      <w:sz w:val="32"/>
      <w:szCs w:val="32"/>
    </w:rPr>
  </w:style>
  <w:style w:type="paragraph" w:styleId="7">
    <w:name w:val="Date"/>
    <w:basedOn w:val="1"/>
    <w:next w:val="1"/>
    <w:link w:val="28"/>
    <w:qFormat/>
    <w:uiPriority w:val="0"/>
    <w:pPr>
      <w:ind w:left="100" w:leftChars="2500"/>
    </w:pPr>
  </w:style>
  <w:style w:type="paragraph" w:styleId="8">
    <w:name w:val="Balloon Text"/>
    <w:basedOn w:val="1"/>
    <w:link w:val="27"/>
    <w:semiHidden/>
    <w:qFormat/>
    <w:uiPriority w:val="0"/>
    <w:pPr>
      <w:spacing w:line="240" w:lineRule="auto"/>
      <w:ind w:firstLine="0" w:firstLineChars="0"/>
    </w:pPr>
    <w:rPr>
      <w:rFonts w:asciiTheme="minorHAnsi" w:hAnsiTheme="minorHAnsi" w:cstheme="minorBidi"/>
      <w:sz w:val="18"/>
      <w:szCs w:val="18"/>
    </w:rPr>
  </w:style>
  <w:style w:type="paragraph" w:styleId="9">
    <w:name w:val="footer"/>
    <w:basedOn w:val="1"/>
    <w:link w:val="29"/>
    <w:qFormat/>
    <w:uiPriority w:val="0"/>
    <w:pPr>
      <w:tabs>
        <w:tab w:val="center" w:pos="4153"/>
        <w:tab w:val="right" w:pos="8306"/>
      </w:tabs>
      <w:snapToGrid w:val="0"/>
      <w:spacing w:line="240" w:lineRule="atLeast"/>
      <w:jc w:val="left"/>
    </w:pPr>
    <w:rPr>
      <w:rFonts w:cstheme="minorBidi"/>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cstheme="minorBidi"/>
      <w:sz w:val="18"/>
      <w:szCs w:val="18"/>
    </w:rPr>
  </w:style>
  <w:style w:type="paragraph" w:styleId="11">
    <w:name w:val="Normal (Web)"/>
    <w:basedOn w:val="1"/>
    <w:qFormat/>
    <w:uiPriority w:val="0"/>
    <w:pPr>
      <w:widowControl/>
      <w:spacing w:before="100" w:beforeAutospacing="1" w:after="100" w:afterAutospacing="1" w:line="240" w:lineRule="auto"/>
      <w:ind w:firstLine="0" w:firstLineChars="0"/>
      <w:jc w:val="left"/>
    </w:pPr>
    <w:rPr>
      <w:rFonts w:ascii="宋体" w:hAnsi="宋体"/>
      <w:kern w:val="0"/>
      <w:sz w:val="24"/>
      <w:szCs w:val="24"/>
    </w:rPr>
  </w:style>
  <w:style w:type="paragraph" w:styleId="12">
    <w:name w:val="annotation subject"/>
    <w:basedOn w:val="4"/>
    <w:next w:val="4"/>
    <w:link w:val="34"/>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customStyle="1" w:styleId="18">
    <w:name w:val="标题 1 Char"/>
    <w:basedOn w:val="15"/>
    <w:link w:val="2"/>
    <w:qFormat/>
    <w:uiPriority w:val="0"/>
    <w:rPr>
      <w:rFonts w:ascii="宋体" w:hAnsi="宋体" w:eastAsia="宋体" w:cs="宋体"/>
      <w:b/>
      <w:bCs/>
      <w:kern w:val="36"/>
      <w:sz w:val="48"/>
      <w:szCs w:val="48"/>
    </w:rPr>
  </w:style>
  <w:style w:type="character" w:customStyle="1" w:styleId="19">
    <w:name w:val="标题 2 Char"/>
    <w:basedOn w:val="15"/>
    <w:link w:val="3"/>
    <w:qFormat/>
    <w:uiPriority w:val="0"/>
    <w:rPr>
      <w:rFonts w:ascii="宋体" w:hAnsi="宋体" w:eastAsia="宋体" w:cs="宋体"/>
      <w:b/>
      <w:bCs/>
      <w:kern w:val="0"/>
      <w:sz w:val="36"/>
      <w:szCs w:val="36"/>
    </w:rPr>
  </w:style>
  <w:style w:type="character" w:customStyle="1" w:styleId="20">
    <w:name w:val="页脚 Char"/>
    <w:basedOn w:val="15"/>
    <w:qFormat/>
    <w:uiPriority w:val="0"/>
    <w:rPr>
      <w:rFonts w:ascii="Calibri" w:hAnsi="Calibri" w:eastAsia="宋体"/>
      <w:sz w:val="18"/>
      <w:szCs w:val="18"/>
    </w:rPr>
  </w:style>
  <w:style w:type="character" w:customStyle="1" w:styleId="21">
    <w:name w:val="Footer Char"/>
    <w:basedOn w:val="15"/>
    <w:qFormat/>
    <w:uiPriority w:val="0"/>
    <w:rPr>
      <w:rFonts w:ascii="Calibri" w:hAnsi="Calibri" w:eastAsia="宋体" w:cs="Times New Roman"/>
      <w:sz w:val="18"/>
      <w:szCs w:val="18"/>
    </w:rPr>
  </w:style>
  <w:style w:type="character" w:customStyle="1" w:styleId="22">
    <w:name w:val="Header Char"/>
    <w:basedOn w:val="15"/>
    <w:qFormat/>
    <w:uiPriority w:val="0"/>
    <w:rPr>
      <w:rFonts w:ascii="Calibri" w:hAnsi="Calibri" w:eastAsia="宋体" w:cs="Times New Roman"/>
      <w:sz w:val="18"/>
      <w:szCs w:val="18"/>
    </w:rPr>
  </w:style>
  <w:style w:type="character" w:customStyle="1" w:styleId="23">
    <w:name w:val="页眉 Char"/>
    <w:basedOn w:val="15"/>
    <w:qFormat/>
    <w:uiPriority w:val="0"/>
    <w:rPr>
      <w:rFonts w:eastAsia="宋体"/>
      <w:sz w:val="18"/>
      <w:szCs w:val="18"/>
    </w:rPr>
  </w:style>
  <w:style w:type="character" w:customStyle="1" w:styleId="24">
    <w:name w:val="批注框文本 Char"/>
    <w:basedOn w:val="15"/>
    <w:semiHidden/>
    <w:qFormat/>
    <w:uiPriority w:val="0"/>
    <w:rPr>
      <w:rFonts w:eastAsia="宋体"/>
      <w:sz w:val="18"/>
      <w:szCs w:val="18"/>
    </w:rPr>
  </w:style>
  <w:style w:type="character" w:customStyle="1" w:styleId="25">
    <w:name w:val="正文文本 Char"/>
    <w:basedOn w:val="15"/>
    <w:link w:val="5"/>
    <w:qFormat/>
    <w:uiPriority w:val="0"/>
    <w:rPr>
      <w:rFonts w:ascii="Calibri" w:hAnsi="Calibri" w:eastAsia="宋体" w:cs="Times New Roman"/>
    </w:rPr>
  </w:style>
  <w:style w:type="character" w:customStyle="1" w:styleId="26">
    <w:name w:val="正文文本缩进 Char"/>
    <w:basedOn w:val="15"/>
    <w:link w:val="6"/>
    <w:qFormat/>
    <w:uiPriority w:val="0"/>
    <w:rPr>
      <w:rFonts w:ascii="方正仿宋_GBK" w:hAnsi="黑体" w:eastAsia="方正仿宋_GBK" w:cs="Times New Roman"/>
      <w:sz w:val="32"/>
      <w:szCs w:val="32"/>
    </w:rPr>
  </w:style>
  <w:style w:type="character" w:customStyle="1" w:styleId="27">
    <w:name w:val="批注框文本 Char1"/>
    <w:basedOn w:val="15"/>
    <w:link w:val="8"/>
    <w:semiHidden/>
    <w:qFormat/>
    <w:uiPriority w:val="99"/>
    <w:rPr>
      <w:rFonts w:ascii="Calibri" w:hAnsi="Calibri" w:eastAsia="宋体" w:cs="Times New Roman"/>
      <w:sz w:val="18"/>
      <w:szCs w:val="18"/>
    </w:rPr>
  </w:style>
  <w:style w:type="character" w:customStyle="1" w:styleId="28">
    <w:name w:val="日期 Char"/>
    <w:basedOn w:val="15"/>
    <w:link w:val="7"/>
    <w:qFormat/>
    <w:uiPriority w:val="0"/>
    <w:rPr>
      <w:rFonts w:ascii="Calibri" w:hAnsi="Calibri" w:eastAsia="宋体" w:cs="Times New Roman"/>
    </w:rPr>
  </w:style>
  <w:style w:type="character" w:customStyle="1" w:styleId="29">
    <w:name w:val="页脚 Char1"/>
    <w:basedOn w:val="15"/>
    <w:link w:val="9"/>
    <w:semiHidden/>
    <w:qFormat/>
    <w:uiPriority w:val="99"/>
    <w:rPr>
      <w:rFonts w:ascii="Calibri" w:hAnsi="Calibri" w:eastAsia="宋体" w:cs="Times New Roman"/>
      <w:sz w:val="18"/>
      <w:szCs w:val="18"/>
    </w:rPr>
  </w:style>
  <w:style w:type="character" w:customStyle="1" w:styleId="30">
    <w:name w:val="页眉 Char1"/>
    <w:basedOn w:val="15"/>
    <w:link w:val="10"/>
    <w:semiHidden/>
    <w:qFormat/>
    <w:uiPriority w:val="99"/>
    <w:rPr>
      <w:rFonts w:ascii="Calibri" w:hAnsi="Calibri" w:eastAsia="宋体" w:cs="Times New Roman"/>
      <w:sz w:val="18"/>
      <w:szCs w:val="18"/>
    </w:rPr>
  </w:style>
  <w:style w:type="paragraph" w:customStyle="1" w:styleId="31">
    <w:name w:val="文头"/>
    <w:basedOn w:val="1"/>
    <w:qFormat/>
    <w:uiPriority w:val="0"/>
    <w:pPr>
      <w:overflowPunct w:val="0"/>
      <w:autoSpaceDE w:val="0"/>
      <w:autoSpaceDN w:val="0"/>
      <w:snapToGrid w:val="0"/>
      <w:spacing w:before="100" w:line="800" w:lineRule="exact"/>
      <w:ind w:right="357" w:firstLine="0" w:firstLineChars="0"/>
      <w:jc w:val="distribute"/>
    </w:pPr>
    <w:rPr>
      <w:rFonts w:ascii="方正小标宋_GBK" w:hAnsi="Times New Roman" w:eastAsia="方正小标宋_GBK"/>
      <w:b/>
      <w:snapToGrid w:val="0"/>
      <w:color w:val="FF0000"/>
      <w:w w:val="90"/>
      <w:kern w:val="0"/>
      <w:sz w:val="76"/>
      <w:szCs w:val="20"/>
    </w:rPr>
  </w:style>
  <w:style w:type="paragraph" w:customStyle="1" w:styleId="32">
    <w:name w:val="Table Paragraph"/>
    <w:basedOn w:val="1"/>
    <w:qFormat/>
    <w:uiPriority w:val="1"/>
    <w:pPr>
      <w:ind w:left="106"/>
    </w:pPr>
    <w:rPr>
      <w:rFonts w:ascii="宋体" w:hAnsi="宋体" w:cs="宋体"/>
      <w:lang w:val="zh-CN" w:bidi="zh-CN"/>
    </w:rPr>
  </w:style>
  <w:style w:type="character" w:customStyle="1" w:styleId="33">
    <w:name w:val="批注文字 Char"/>
    <w:basedOn w:val="15"/>
    <w:link w:val="4"/>
    <w:semiHidden/>
    <w:qFormat/>
    <w:uiPriority w:val="99"/>
    <w:rPr>
      <w:rFonts w:ascii="Calibri" w:hAnsi="Calibri" w:eastAsia="宋体" w:cs="Times New Roman"/>
      <w:kern w:val="2"/>
      <w:sz w:val="21"/>
      <w:szCs w:val="22"/>
    </w:rPr>
  </w:style>
  <w:style w:type="character" w:customStyle="1" w:styleId="34">
    <w:name w:val="批注主题 Char"/>
    <w:basedOn w:val="33"/>
    <w:link w:val="12"/>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80F06-9E00-4BFD-BD9F-9B2EF044E9F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43</Pages>
  <Words>8701</Words>
  <Characters>8739</Characters>
  <Lines>163</Lines>
  <Paragraphs>45</Paragraphs>
  <TotalTime>2734</TotalTime>
  <ScaleCrop>false</ScaleCrop>
  <LinksUpToDate>false</LinksUpToDate>
  <CharactersWithSpaces>8883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2024-12-09T02:00:00Z</dcterms:created>
  <dc:creator>Administrator</dc:creator>
  <cp:lastModifiedBy>胖豆芽</cp:lastModifiedBy>
  <cp:lastPrinted>2025-12-08T00:49:00Z</cp:lastPrinted>
  <dcterms:modified xsi:type="dcterms:W3CDTF">2025-12-24T07:32:52Z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eyJoZGlkIjoiNjgzMWNmZTI2YWQ4ZWNiZDRhMzBkOWFiMzhiNzhhNmEiLCJ1c2VySWQiOiI4MjE0MzM1NjUifQ==</vt:lpwstr>
  </property>
  <property fmtid="{D5CDD505-2E9C-101B-9397-08002B2CF9AE}" pid="4" name="ICV">
    <vt:lpwstr>E27BF780166D43089C9B5ABF921FCE31_13</vt:lpwstr>
  </property>
</Properties>
</file>