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E77D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Style w:val="6"/>
          <w:rFonts w:ascii="宋体" w:hAnsi="宋体"/>
          <w:lang w:val="en-US" w:eastAsia="zh-CN" w:bidi="ar-SA"/>
        </w:rPr>
      </w:pPr>
      <w:r>
        <w:rPr>
          <w:rStyle w:val="6"/>
          <w:rFonts w:hint="eastAsia" w:eastAsia="宋体"/>
          <w:kern w:val="2"/>
          <w:sz w:val="28"/>
          <w:szCs w:val="28"/>
          <w:lang w:val="en-US" w:eastAsia="zh-CN" w:bidi="ar-SA"/>
        </w:rPr>
        <w:t>附件：评标细则</w:t>
      </w:r>
    </w:p>
    <w:p w14:paraId="22E64147">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本次评标采用“评标入围法+合理低价法”评标办法，总分100分，由评标委员会按以下规则计算汇总评审结果，按照评标总分从高到低的顺序向招标人推荐1至3名中标候选人，并标明排序。如评标总分相同，以评标价低的优先；评标价也相等的，由招标人以抽签方式确定排序。招标文件“第三章 评标办法”与本细则不一致的，以本细则为准。具体如下：</w:t>
      </w:r>
    </w:p>
    <w:p w14:paraId="6C0839E5">
      <w:pPr>
        <w:pStyle w:val="7"/>
        <w:keepNext w:val="0"/>
        <w:keepLines w:val="0"/>
        <w:pageBreakBefore w:val="0"/>
        <w:kinsoku/>
        <w:wordWrap/>
        <w:overflowPunct/>
        <w:topLinePunct w:val="0"/>
        <w:autoSpaceDE/>
        <w:autoSpaceDN/>
        <w:bidi w:val="0"/>
        <w:adjustRightInd/>
        <w:snapToGrid/>
        <w:spacing w:line="400" w:lineRule="exact"/>
        <w:textAlignment w:val="auto"/>
        <w:rPr>
          <w:b w:val="0"/>
          <w:highlight w:val="none"/>
          <w:lang w:val="en-US" w:eastAsia="zh-CN" w:bidi="ar-SA"/>
        </w:rPr>
      </w:pPr>
      <w:r>
        <w:rPr>
          <w:rFonts w:hint="eastAsia" w:ascii="宋体" w:hAnsi="宋体" w:eastAsia="宋体"/>
          <w:b w:val="0"/>
          <w:sz w:val="28"/>
          <w:szCs w:val="28"/>
          <w:highlight w:val="none"/>
          <w:lang w:val="en-US" w:eastAsia="zh-CN" w:bidi="ar-SA"/>
        </w:rPr>
        <w:t>一、评标入围办法</w:t>
      </w:r>
    </w:p>
    <w:p w14:paraId="4617D9FA">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eastAsia="宋体" w:cs="Calibri"/>
          <w:color w:val="auto"/>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当递交投标文件的投标人数量不超过30 家时，</w:t>
      </w:r>
      <w:r>
        <w:rPr>
          <w:rStyle w:val="9"/>
          <w:rFonts w:hint="eastAsia" w:ascii="宋体" w:hAnsi="宋体" w:eastAsia="宋体"/>
          <w:b w:val="0"/>
          <w:color w:val="auto"/>
          <w:sz w:val="28"/>
          <w:szCs w:val="28"/>
          <w:highlight w:val="none"/>
          <w:lang w:val="en-US" w:eastAsia="zh-CN" w:bidi="ar-SA"/>
        </w:rPr>
        <w:t>采用“全部入围法”；</w:t>
      </w:r>
      <w:r>
        <w:rPr>
          <w:rStyle w:val="9"/>
          <w:rFonts w:hint="eastAsia" w:ascii="宋体" w:hAnsi="宋体" w:eastAsia="宋体" w:cs="Calibri"/>
          <w:b w:val="0"/>
          <w:bCs w:val="0"/>
          <w:color w:val="auto"/>
          <w:sz w:val="28"/>
          <w:szCs w:val="28"/>
          <w:highlight w:val="none"/>
          <w:lang w:val="en-US" w:eastAsia="zh-CN" w:bidi="ar-SA"/>
        </w:rPr>
        <w:t>当递交投标文件的投标人数量</w:t>
      </w:r>
      <w:r>
        <w:rPr>
          <w:rStyle w:val="9"/>
          <w:rFonts w:hint="eastAsia" w:ascii="宋体" w:hAnsi="宋体" w:eastAsia="宋体"/>
          <w:b w:val="0"/>
          <w:color w:val="auto"/>
          <w:sz w:val="28"/>
          <w:szCs w:val="28"/>
          <w:highlight w:val="none"/>
          <w:lang w:val="en-US" w:eastAsia="zh-CN" w:bidi="ar-SA"/>
        </w:rPr>
        <w:t>超过30家时，采用“去高去低入围法”。</w:t>
      </w:r>
      <w:r>
        <w:rPr>
          <w:rStyle w:val="9"/>
          <w:rFonts w:hint="eastAsia" w:ascii="宋体" w:hAnsi="宋体" w:eastAsia="宋体" w:cs="Calibri"/>
          <w:b w:val="0"/>
          <w:bCs w:val="0"/>
          <w:color w:val="auto"/>
          <w:sz w:val="28"/>
          <w:szCs w:val="28"/>
          <w:highlight w:val="none"/>
          <w:lang w:val="en-US" w:eastAsia="zh-CN" w:bidi="ar-SA"/>
        </w:rPr>
        <w:t>具体入围方法如下：</w:t>
      </w:r>
    </w:p>
    <w:p w14:paraId="056BFD69">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kern w:val="2"/>
          <w:sz w:val="21"/>
          <w:highlight w:val="none"/>
          <w:lang w:val="en-US" w:eastAsia="zh-CN" w:bidi="ar-SA"/>
        </w:rPr>
      </w:pPr>
      <w:r>
        <w:rPr>
          <w:rFonts w:hint="eastAsia" w:ascii="宋体" w:hAnsi="宋体"/>
          <w:kern w:val="2"/>
          <w:sz w:val="28"/>
          <w:szCs w:val="28"/>
          <w:highlight w:val="none"/>
          <w:lang w:val="en-US" w:eastAsia="zh-CN" w:bidi="ar-SA"/>
        </w:rPr>
        <w:t>1、全部入围法</w:t>
      </w:r>
    </w:p>
    <w:p w14:paraId="5FF4E625">
      <w:pPr>
        <w:pStyle w:val="5"/>
        <w:keepNext w:val="0"/>
        <w:keepLines w:val="0"/>
        <w:pageBreakBefore w:val="0"/>
        <w:kinsoku/>
        <w:wordWrap/>
        <w:overflowPunct/>
        <w:topLinePunct w:val="0"/>
        <w:autoSpaceDE/>
        <w:autoSpaceDN/>
        <w:bidi w:val="0"/>
        <w:adjustRightInd/>
        <w:snapToGrid/>
        <w:spacing w:line="400" w:lineRule="exact"/>
        <w:ind w:firstLine="645"/>
        <w:textAlignment w:val="auto"/>
        <w:rPr>
          <w:rFonts w:ascii="宋体" w:hAnsi="宋体"/>
          <w:kern w:val="2"/>
          <w:sz w:val="28"/>
          <w:szCs w:val="28"/>
          <w:highlight w:val="none"/>
          <w:lang w:val="en-US" w:eastAsia="zh-CN" w:bidi="ar-SA"/>
        </w:rPr>
      </w:pPr>
      <w:r>
        <w:rPr>
          <w:rFonts w:hint="eastAsia" w:ascii="宋体" w:hAnsi="宋体"/>
          <w:kern w:val="2"/>
          <w:sz w:val="28"/>
          <w:szCs w:val="28"/>
          <w:highlight w:val="none"/>
          <w:lang w:val="en-US" w:eastAsia="zh-CN" w:bidi="ar-SA"/>
        </w:rPr>
        <w:t>所有</w:t>
      </w:r>
      <w:r>
        <w:rPr>
          <w:rStyle w:val="9"/>
          <w:rFonts w:hint="eastAsia" w:ascii="宋体" w:hAnsi="宋体" w:cs="Calibri"/>
          <w:bCs/>
          <w:kern w:val="2"/>
          <w:sz w:val="28"/>
          <w:szCs w:val="28"/>
          <w:highlight w:val="none"/>
          <w:lang w:val="en-US" w:eastAsia="zh-CN" w:bidi="ar-SA"/>
        </w:rPr>
        <w:t>递交投标文件</w:t>
      </w:r>
      <w:r>
        <w:rPr>
          <w:rFonts w:hint="eastAsia" w:ascii="宋体" w:hAnsi="宋体"/>
          <w:kern w:val="2"/>
          <w:sz w:val="28"/>
          <w:szCs w:val="28"/>
          <w:highlight w:val="none"/>
          <w:lang w:val="en-US" w:eastAsia="zh-CN" w:bidi="ar-SA"/>
        </w:rPr>
        <w:t>的投标人全部进入后续开评标程序。</w:t>
      </w:r>
    </w:p>
    <w:p w14:paraId="4063F21F">
      <w:pPr>
        <w:pStyle w:val="5"/>
        <w:keepNext w:val="0"/>
        <w:keepLines w:val="0"/>
        <w:pageBreakBefore w:val="0"/>
        <w:kinsoku/>
        <w:wordWrap/>
        <w:overflowPunct/>
        <w:topLinePunct w:val="0"/>
        <w:autoSpaceDE/>
        <w:autoSpaceDN/>
        <w:bidi w:val="0"/>
        <w:adjustRightInd/>
        <w:snapToGrid/>
        <w:spacing w:line="400" w:lineRule="exact"/>
        <w:ind w:firstLine="587"/>
        <w:textAlignment w:val="auto"/>
        <w:rPr>
          <w:rFonts w:ascii="宋体" w:hAnsi="宋体"/>
          <w:kern w:val="2"/>
          <w:sz w:val="28"/>
          <w:szCs w:val="28"/>
          <w:highlight w:val="none"/>
          <w:lang w:val="en-US" w:eastAsia="zh-CN" w:bidi="ar-SA"/>
        </w:rPr>
      </w:pPr>
      <w:r>
        <w:rPr>
          <w:rFonts w:hint="eastAsia" w:ascii="宋体" w:hAnsi="宋体"/>
          <w:kern w:val="2"/>
          <w:sz w:val="28"/>
          <w:szCs w:val="28"/>
          <w:highlight w:val="none"/>
          <w:lang w:val="en-US" w:eastAsia="zh-CN" w:bidi="ar-SA"/>
        </w:rPr>
        <w:t>2、去高去低入围法</w:t>
      </w:r>
    </w:p>
    <w:p w14:paraId="2FDABC79">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1）开标结束后，评标委员会先按投标报价由高到低去除投标人数量×G1（G1值为10%、15%、20%、25%、30%）最高投标报价的投标人和由低到高去除投标人数量×G2（G2值为10%、15%、20%）最低投标报价的投标人（去高、去低的数量四舍五入后取整，末位报价相同的均去除），G1和G2在开标时抽取确定的入围方法为</w:t>
      </w:r>
      <w:r>
        <w:rPr>
          <w:rStyle w:val="9"/>
          <w:rFonts w:ascii="宋体" w:hAnsi="宋体" w:cs="Calibri"/>
          <w:sz w:val="28"/>
          <w:szCs w:val="28"/>
          <w:highlight w:val="none"/>
          <w:lang w:val="en-US" w:eastAsia="zh-CN" w:bidi="ar-SA"/>
        </w:rPr>
        <w:t>去高去低入围法后，</w:t>
      </w:r>
      <w:r>
        <w:rPr>
          <w:rStyle w:val="9"/>
          <w:rFonts w:hint="eastAsia" w:ascii="宋体" w:hAnsi="宋体" w:cs="Calibri"/>
          <w:sz w:val="28"/>
          <w:szCs w:val="28"/>
          <w:highlight w:val="none"/>
          <w:lang w:val="en-US" w:eastAsia="zh-CN" w:bidi="ar-SA"/>
        </w:rPr>
        <w:t>即由招标人代表随机抽取确定。投标报价是指开标时公布的报价，投标人数量是指递交评标委员会评审的投标人数量。</w:t>
      </w:r>
    </w:p>
    <w:p w14:paraId="015A1348">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（2）去除的投标人不进入后续评标程序，评标委员会对入围投标人按照招标文件规定的评标方法进行评审。</w:t>
      </w:r>
    </w:p>
    <w:p w14:paraId="61B5F1B2">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（3）评标入围结果不因招投标当事人质疑、投诉、复议以及其他任何情形而改变（计算错误应作调整）。</w:t>
      </w:r>
    </w:p>
    <w:p w14:paraId="64D4B129">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二、投标报价得分（100）</w:t>
      </w:r>
    </w:p>
    <w:p w14:paraId="01D4F6B8">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1、按以下方法确定评标基准价：</w:t>
      </w:r>
    </w:p>
    <w:p w14:paraId="7F7757A9">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评标基准价=(A×35%＋B×45%＋C×20%)×K</w:t>
      </w:r>
    </w:p>
    <w:p w14:paraId="7D984557">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A＝最高投标限价×（100%-下浮率Δ）。</w:t>
      </w:r>
    </w:p>
    <w:p w14:paraId="66E8264D">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下浮率Δ的抽取范围为：9%、10%、11%。</w:t>
      </w:r>
    </w:p>
    <w:p w14:paraId="37A95406">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 xml:space="preserve">B＝在规定范围内的本次投标除C值外的任意一个评标价。 </w:t>
      </w:r>
    </w:p>
    <w:p w14:paraId="2CB7F67C">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 xml:space="preserve">C＝在规定范围内的本次开标最低评标价。 </w:t>
      </w:r>
    </w:p>
    <w:p w14:paraId="4C2C49B0">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Ｋ为下浮系数，取值范围为：96%、97%、98%。</w:t>
      </w:r>
    </w:p>
    <w:p w14:paraId="6EB6FAFA">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规定范围内是指：</w:t>
      </w:r>
    </w:p>
    <w:p w14:paraId="016BACA3">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(1)评标价≤最高投标限价×（100%-下浮率Δ）。</w:t>
      </w:r>
    </w:p>
    <w:p w14:paraId="1D71E51B">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(2)评标价≥所有通过第⑴步评审合格的投标人评标价算术平均值×90%。</w:t>
      </w:r>
    </w:p>
    <w:p w14:paraId="246C36A4">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(3)特殊情况处理：规定范围内的评标价只有一家时，B值和C值均取该评标价；没有符合规定范围内的评标价时，本工程流标。</w:t>
      </w:r>
    </w:p>
    <w:p w14:paraId="63BBDC7F">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Times New Roman"/>
          <w:kern w:val="2"/>
          <w:sz w:val="28"/>
          <w:szCs w:val="28"/>
          <w:highlight w:val="green"/>
          <w:lang w:val="en-US" w:eastAsia="zh-CN" w:bidi="ar-SA"/>
        </w:rPr>
      </w:pPr>
      <w:r>
        <w:rPr>
          <w:rStyle w:val="9"/>
          <w:rFonts w:hint="eastAsia" w:ascii="宋体" w:hAnsi="宋体" w:eastAsia="宋体" w:cs="Calibri"/>
          <w:b w:val="0"/>
          <w:bCs w:val="0"/>
          <w:color w:val="auto"/>
          <w:sz w:val="28"/>
          <w:szCs w:val="28"/>
          <w:lang w:val="en-US" w:eastAsia="zh-CN" w:bidi="ar-SA"/>
        </w:rPr>
        <w:t>2、有效投标文件的评标价等于评标基准价的得满分100），评标价相对评标基准价每高1%扣0.9分，每低1%扣0.6分，不足1%的，按照插入法计算得分，分值按四舍五入取二位小数。</w:t>
      </w:r>
    </w:p>
    <w:p w14:paraId="19EB25D4">
      <w:pPr>
        <w:pStyle w:val="5"/>
        <w:keepNext w:val="0"/>
        <w:keepLines w:val="0"/>
        <w:pageBreakBefore w:val="0"/>
        <w:kinsoku/>
        <w:wordWrap/>
        <w:overflowPunct/>
        <w:topLinePunct w:val="0"/>
        <w:autoSpaceDE/>
        <w:autoSpaceDN/>
        <w:bidi w:val="0"/>
        <w:adjustRightInd/>
        <w:snapToGrid/>
        <w:spacing w:line="400" w:lineRule="exact"/>
        <w:ind w:firstLine="551" w:firstLineChars="196"/>
        <w:textAlignment w:val="auto"/>
        <w:rPr>
          <w:rFonts w:hint="eastAsia" w:ascii="宋体" w:hAnsi="宋体"/>
          <w:b/>
          <w:bCs/>
          <w:kern w:val="2"/>
          <w:sz w:val="28"/>
          <w:szCs w:val="28"/>
          <w:lang w:val="en-US" w:eastAsia="zh-CN" w:bidi="ar-SA"/>
        </w:rPr>
      </w:pPr>
      <w:r>
        <w:rPr>
          <w:rFonts w:hint="eastAsia" w:ascii="宋体" w:hAnsi="宋体"/>
          <w:b/>
          <w:bCs/>
          <w:kern w:val="2"/>
          <w:sz w:val="28"/>
          <w:szCs w:val="28"/>
          <w:lang w:val="en-US" w:eastAsia="zh-CN" w:bidi="ar-SA"/>
        </w:rPr>
        <w:t>评标细则说明：</w:t>
      </w:r>
    </w:p>
    <w:p w14:paraId="051BBEE3">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1、有效投标文件是指评标委员会初步评审合格的投标文件；评标价指经澄清、补正和修正算术错误的投标报价。</w:t>
      </w:r>
    </w:p>
    <w:p w14:paraId="54A9EF66">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2、不参与评标基准价计算的有效投标文件均不影响其评标及推荐为中标候选人。</w:t>
      </w:r>
    </w:p>
    <w:p w14:paraId="4451A39D">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3、相关数值及评标基准价计算方法（如有，先抽计算方法）的抽取在招标人（招标代理机构）完成评标准备工作，评标委员会完成初步评审，并经评标委员会所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w:t>
      </w:r>
    </w:p>
    <w:p w14:paraId="35CFD9CE">
      <w:r>
        <w:rPr>
          <w:rFonts w:hint="eastAsia" w:ascii="宋体" w:hAnsi="宋体"/>
          <w:kern w:val="2"/>
          <w:sz w:val="28"/>
          <w:szCs w:val="28"/>
          <w:lang w:val="en-US" w:eastAsia="zh-CN" w:bidi="ar-SA"/>
        </w:rPr>
        <w:t>4、相关数值抽取后，在抽取现场确定评标基准价，评标基准价确定后不因招投标当事人质疑、投诉、复议以及其他任何情形而改变（计算错误应作调整）。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C04AD"/>
    <w:rsid w:val="18DE3A41"/>
    <w:rsid w:val="2FB9045A"/>
    <w:rsid w:val="5CEE6803"/>
    <w:rsid w:val="721C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_0"/>
    <w:basedOn w:val="5"/>
    <w:uiPriority w:val="0"/>
    <w:pPr>
      <w:widowControl/>
      <w:spacing w:before="100" w:beforeAutospacing="1" w:after="100" w:afterAutospacing="1"/>
      <w:jc w:val="left"/>
    </w:pPr>
    <w:rPr>
      <w:rFonts w:ascii="宋体" w:hAnsi="宋体" w:eastAsia="Times New Roman" w:cs="宋体"/>
      <w:sz w:val="24"/>
      <w:szCs w:val="24"/>
    </w:rPr>
  </w:style>
  <w:style w:type="paragraph" w:customStyle="1" w:styleId="5">
    <w:name w:val="Normal_2"/>
    <w:qFormat/>
    <w:uiPriority w:val="0"/>
    <w:pPr>
      <w:widowControl w:val="0"/>
      <w:jc w:val="both"/>
    </w:pPr>
    <w:rPr>
      <w:rFonts w:ascii="Calibri" w:hAnsi="Calibri" w:eastAsia="宋体" w:cs="Times New Roman"/>
      <w:lang w:eastAsia="en-US"/>
    </w:rPr>
  </w:style>
  <w:style w:type="character" w:customStyle="1" w:styleId="6">
    <w:name w:val="17"/>
    <w:basedOn w:val="3"/>
    <w:uiPriority w:val="0"/>
    <w:rPr>
      <w:rFonts w:ascii="Times New Roman" w:hAnsi="Times New Roman" w:eastAsia="Times New Roman" w:cs="Times New Roman"/>
    </w:rPr>
  </w:style>
  <w:style w:type="paragraph" w:customStyle="1" w:styleId="7">
    <w:name w:val="p18"/>
    <w:basedOn w:val="8"/>
    <w:uiPriority w:val="0"/>
    <w:pPr>
      <w:widowControl/>
      <w:spacing w:line="360" w:lineRule="auto"/>
    </w:pPr>
    <w:rPr>
      <w:rFonts w:eastAsia="微软雅黑" w:cs="Calibri"/>
      <w:b/>
      <w:bCs/>
      <w:sz w:val="24"/>
      <w:szCs w:val="24"/>
    </w:rPr>
  </w:style>
  <w:style w:type="paragraph" w:customStyle="1" w:styleId="8">
    <w:name w:val="Normal_4"/>
    <w:qFormat/>
    <w:uiPriority w:val="0"/>
    <w:pPr>
      <w:widowControl w:val="0"/>
      <w:jc w:val="both"/>
    </w:pPr>
    <w:rPr>
      <w:rFonts w:ascii="Calibri" w:hAnsi="Calibri" w:eastAsia="宋体" w:cs="Times New Roman"/>
      <w:lang w:eastAsia="en-US"/>
    </w:rPr>
  </w:style>
  <w:style w:type="character" w:customStyle="1" w:styleId="9">
    <w:name w:val="16"/>
    <w:basedOn w:val="3"/>
    <w:qFormat/>
    <w:uiPriority w:val="0"/>
    <w:rPr>
      <w:rFonts w:ascii="Times New Roman" w:hAnsi="Times New Roman" w:eastAsia="Times New Roman" w:cs="Times New Roman"/>
    </w:rPr>
  </w:style>
  <w:style w:type="paragraph" w:customStyle="1" w:styleId="10">
    <w:name w:val="正文1"/>
    <w:basedOn w:val="11"/>
    <w:qFormat/>
    <w:uiPriority w:val="0"/>
    <w:pPr>
      <w:widowControl w:val="0"/>
      <w:jc w:val="both"/>
    </w:pPr>
    <w:rPr>
      <w:rFonts w:eastAsia="Times New Roman"/>
      <w:lang w:eastAsia="en-US"/>
    </w:rPr>
  </w:style>
  <w:style w:type="paragraph" w:customStyle="1" w:styleId="11">
    <w:name w:val="Normal_0"/>
    <w:basedOn w:val="8"/>
    <w:qFormat/>
    <w:uiPriority w:val="0"/>
    <w:rPr>
      <w:rFonts w:eastAsia="Times New Roman"/>
    </w:rPr>
  </w:style>
  <w:style w:type="paragraph" w:customStyle="1" w:styleId="12">
    <w:name w:val="Normal_3"/>
    <w:qFormat/>
    <w:uiPriority w:val="0"/>
    <w:pPr>
      <w:widowControl w:val="0"/>
      <w:jc w:val="both"/>
    </w:pPr>
    <w:rPr>
      <w:rFonts w:ascii="Calibri" w:hAnsi="Calibri" w:eastAsia="宋体"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2025-12-03T06:33:00Z</dcterms:created>
  <dc:creator>那时花开</dc:creator>
  <cp:lastModifiedBy>那时花开</cp:lastModifiedBy>
  <dcterms:modified xsi:type="dcterms:W3CDTF">2025-12-03T06:34:26Z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B6F8AC05526349AC8883BE2D3A3A364F_13</vt:lpwstr>
  </property>
  <property fmtid="{D5CDD505-2E9C-101B-9397-08002B2CF9AE}" pid="4" name="KSOTemplateDocerSaveRecord">
    <vt:lpwstr>eyJoZGlkIjoiNDZhNTZlOTQ5ZGQ1MTIxN2QwOGE5YTZjMTdhNjY0OGEiLCJ1c2VySWQiOiIzNDEwNTA3NjQifQ==</vt:lpwstr>
  </property>
</Properties>
</file>