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45" w:rsidRDefault="00006245">
      <w:pPr>
        <w:spacing w:line="312" w:lineRule="exact"/>
        <w:rPr>
          <w:sz w:val="21"/>
          <w:szCs w:val="21"/>
        </w:rPr>
      </w:pPr>
    </w:p>
    <w:p w:rsidR="00006245" w:rsidRDefault="00006245">
      <w:pPr>
        <w:spacing w:line="312" w:lineRule="exact"/>
        <w:rPr>
          <w:sz w:val="21"/>
          <w:szCs w:val="21"/>
        </w:rPr>
      </w:pPr>
    </w:p>
    <w:p w:rsidR="00006245" w:rsidRDefault="00006245">
      <w:pPr>
        <w:spacing w:line="312" w:lineRule="exact"/>
        <w:rPr>
          <w:sz w:val="21"/>
          <w:szCs w:val="21"/>
        </w:rPr>
      </w:pPr>
    </w:p>
    <w:p w:rsidR="00006245" w:rsidRDefault="00006245">
      <w:pPr>
        <w:spacing w:line="312" w:lineRule="exact"/>
        <w:rPr>
          <w:sz w:val="21"/>
          <w:szCs w:val="21"/>
        </w:rPr>
      </w:pPr>
    </w:p>
    <w:p w:rsidR="00006245" w:rsidRDefault="00006245">
      <w:pPr>
        <w:spacing w:line="312" w:lineRule="exact"/>
        <w:rPr>
          <w:sz w:val="21"/>
          <w:szCs w:val="21"/>
        </w:rPr>
      </w:pPr>
    </w:p>
    <w:p w:rsidR="00006245" w:rsidRDefault="00006245">
      <w:pPr>
        <w:spacing w:line="312" w:lineRule="exact"/>
        <w:rPr>
          <w:sz w:val="21"/>
          <w:szCs w:val="21"/>
        </w:rPr>
      </w:pPr>
    </w:p>
    <w:p w:rsidR="00006245" w:rsidRDefault="00006245">
      <w:pPr>
        <w:spacing w:line="312" w:lineRule="exact"/>
        <w:rPr>
          <w:sz w:val="21"/>
          <w:szCs w:val="21"/>
        </w:rPr>
      </w:pPr>
    </w:p>
    <w:p w:rsidR="00006245" w:rsidRDefault="00006245">
      <w:pPr>
        <w:rPr>
          <w:sz w:val="21"/>
          <w:szCs w:val="21"/>
        </w:rPr>
      </w:pPr>
    </w:p>
    <w:p w:rsidR="00006245" w:rsidRDefault="00006245">
      <w:pPr>
        <w:rPr>
          <w:sz w:val="21"/>
          <w:szCs w:val="21"/>
        </w:rPr>
      </w:pPr>
    </w:p>
    <w:p w:rsidR="00006245" w:rsidRDefault="00F951D0">
      <w:pPr>
        <w:jc w:val="center"/>
        <w:rPr>
          <w:rFonts w:ascii="楷体_GB2312" w:eastAsia="楷体_GB2312" w:hAnsi="楷体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Cs w:val="32"/>
        </w:rPr>
        <w:t>宜政办发〔</w:t>
      </w:r>
      <w:r>
        <w:rPr>
          <w:rFonts w:ascii="楷体_GB2312" w:eastAsia="楷体_GB2312" w:hAnsi="楷体" w:hint="eastAsia"/>
          <w:szCs w:val="32"/>
        </w:rPr>
        <w:t>2025</w:t>
      </w:r>
      <w:r>
        <w:rPr>
          <w:rFonts w:ascii="楷体_GB2312" w:eastAsia="楷体_GB2312" w:hAnsi="楷体" w:hint="eastAsia"/>
          <w:szCs w:val="32"/>
        </w:rPr>
        <w:t>〕</w:t>
      </w:r>
      <w:r>
        <w:rPr>
          <w:rFonts w:ascii="楷体_GB2312" w:eastAsia="楷体_GB2312" w:hAnsi="楷体" w:hint="eastAsia"/>
          <w:szCs w:val="32"/>
        </w:rPr>
        <w:t>31</w:t>
      </w:r>
      <w:r>
        <w:rPr>
          <w:rFonts w:ascii="楷体_GB2312" w:eastAsia="楷体_GB2312" w:hAnsi="楷体" w:hint="eastAsia"/>
          <w:szCs w:val="32"/>
        </w:rPr>
        <w:t>号</w:t>
      </w:r>
    </w:p>
    <w:p w:rsidR="00006245" w:rsidRDefault="00006245">
      <w:pPr>
        <w:jc w:val="left"/>
        <w:rPr>
          <w:rFonts w:ascii="楷体_GB2312" w:eastAsia="楷体_GB2312" w:hAnsi="楷体"/>
          <w:szCs w:val="32"/>
        </w:rPr>
      </w:pPr>
    </w:p>
    <w:p w:rsidR="00006245" w:rsidRDefault="00006245">
      <w:pPr>
        <w:spacing w:line="576" w:lineRule="exact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  <w:bookmarkStart w:id="1" w:name="quanwen"/>
    </w:p>
    <w:p w:rsidR="00006245" w:rsidRDefault="00F951D0">
      <w:pPr>
        <w:spacing w:line="576" w:lineRule="exact"/>
        <w:jc w:val="center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市政府办公室关于印发</w:t>
      </w:r>
      <w:proofErr w:type="gramStart"/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《</w:t>
      </w:r>
      <w:proofErr w:type="gramEnd"/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宜兴市楼宇经济</w:t>
      </w:r>
    </w:p>
    <w:p w:rsidR="00006245" w:rsidRDefault="00F951D0">
      <w:pPr>
        <w:spacing w:line="576" w:lineRule="exact"/>
        <w:jc w:val="center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高质量发展实施意见（试行）</w:t>
      </w:r>
      <w:proofErr w:type="gramStart"/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》</w:t>
      </w:r>
      <w:proofErr w:type="gramEnd"/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t>的通知</w:t>
      </w:r>
    </w:p>
    <w:p w:rsidR="00006245" w:rsidRDefault="00006245">
      <w:pPr>
        <w:pStyle w:val="50"/>
        <w:spacing w:before="0" w:beforeAutospacing="0" w:after="0" w:afterAutospacing="0" w:line="400" w:lineRule="exact"/>
        <w:ind w:leftChars="0" w:left="0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</w:p>
    <w:p w:rsidR="00006245" w:rsidRDefault="00F951D0">
      <w:pPr>
        <w:shd w:val="clear" w:color="auto" w:fill="FFFFFF"/>
        <w:overflowPunct w:val="0"/>
        <w:spacing w:line="560" w:lineRule="exact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各开发区管委会（管理办），各镇人民政府，各街道办事处，市各委办局，市各直属单位</w:t>
      </w:r>
      <w:r>
        <w:rPr>
          <w:rFonts w:ascii="Times New Roman" w:eastAsia="仿宋_GB2312" w:hAnsi="Times New Roman" w:cs="Times New Roman"/>
          <w:szCs w:val="32"/>
        </w:rPr>
        <w:t>：</w:t>
      </w:r>
      <w:r>
        <w:rPr>
          <w:rFonts w:ascii="Times New Roman" w:eastAsia="仿宋_GB2312" w:hAnsi="Times New Roman" w:cs="Times New Roman"/>
          <w:kern w:val="0"/>
          <w:szCs w:val="32"/>
        </w:rPr>
        <w:br/>
      </w:r>
      <w:r>
        <w:rPr>
          <w:rFonts w:ascii="Times New Roman" w:eastAsia="仿宋_GB2312" w:hAnsi="Times New Roman" w:cs="Times New Roman"/>
          <w:kern w:val="0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Cs w:val="32"/>
        </w:rPr>
        <w:t>《宜兴市楼宇经济高质量发展实施意见（试行）》</w:t>
      </w:r>
      <w:r>
        <w:rPr>
          <w:rFonts w:ascii="Times New Roman" w:eastAsia="仿宋_GB2312" w:hAnsi="Times New Roman" w:cs="Times New Roman"/>
          <w:kern w:val="0"/>
          <w:szCs w:val="32"/>
        </w:rPr>
        <w:t>已经市政府同意，现印发给你们，请结合实际，认真贯彻执行。</w:t>
      </w:r>
    </w:p>
    <w:p w:rsidR="00006245" w:rsidRDefault="00006245" w:rsidP="004D5CF8">
      <w:pPr>
        <w:shd w:val="clear" w:color="auto" w:fill="FFFFFF"/>
        <w:overflowPunct w:val="0"/>
        <w:spacing w:line="560" w:lineRule="exact"/>
        <w:ind w:left="5120" w:hangingChars="1600" w:hanging="5120"/>
        <w:jc w:val="left"/>
        <w:rPr>
          <w:rFonts w:ascii="Times New Roman" w:eastAsia="仿宋_GB2312" w:hAnsi="Times New Roman" w:cs="Times New Roman"/>
          <w:kern w:val="0"/>
          <w:szCs w:val="32"/>
        </w:rPr>
      </w:pPr>
    </w:p>
    <w:p w:rsidR="00006245" w:rsidRDefault="00006245">
      <w:pPr>
        <w:spacing w:line="560" w:lineRule="exact"/>
        <w:jc w:val="right"/>
        <w:rPr>
          <w:rFonts w:ascii="Times New Roman" w:eastAsia="仿宋_GB2312" w:hAnsi="Times New Roman" w:cs="Times New Roman"/>
          <w:kern w:val="0"/>
          <w:szCs w:val="32"/>
        </w:rPr>
      </w:pPr>
    </w:p>
    <w:p w:rsidR="00006245" w:rsidRDefault="00F951D0">
      <w:pPr>
        <w:pStyle w:val="Style2"/>
        <w:wordWrap w:val="0"/>
        <w:spacing w:line="560" w:lineRule="exact"/>
        <w:jc w:val="right"/>
        <w:rPr>
          <w:rFonts w:cs="Times New Roman"/>
          <w:kern w:val="0"/>
          <w:sz w:val="32"/>
          <w:szCs w:val="32"/>
        </w:rPr>
      </w:pPr>
      <w:r>
        <w:rPr>
          <w:rFonts w:cs="Times New Roman"/>
          <w:kern w:val="0"/>
          <w:sz w:val="32"/>
          <w:szCs w:val="32"/>
        </w:rPr>
        <w:t>宜兴市人民政府办公室</w:t>
      </w:r>
      <w:r>
        <w:rPr>
          <w:rFonts w:cs="Times New Roman"/>
          <w:kern w:val="0"/>
          <w:sz w:val="32"/>
          <w:szCs w:val="32"/>
        </w:rPr>
        <w:t xml:space="preserve">     </w:t>
      </w:r>
    </w:p>
    <w:p w:rsidR="00006245" w:rsidRDefault="00F951D0">
      <w:pPr>
        <w:pStyle w:val="Style2"/>
        <w:wordWrap w:val="0"/>
        <w:spacing w:line="560" w:lineRule="exact"/>
        <w:jc w:val="right"/>
        <w:rPr>
          <w:rFonts w:eastAsia="方正仿宋_GBK"/>
        </w:rPr>
        <w:sectPr w:rsidR="00006245">
          <w:footerReference w:type="default" r:id="rId8"/>
          <w:pgSz w:w="11906" w:h="16838"/>
          <w:pgMar w:top="1701" w:right="1587" w:bottom="1701" w:left="1587" w:header="851" w:footer="992" w:gutter="0"/>
          <w:cols w:space="425"/>
          <w:docGrid w:type="lines" w:linePitch="312"/>
        </w:sectPr>
      </w:pPr>
      <w:r>
        <w:rPr>
          <w:rFonts w:cs="Times New Roman"/>
          <w:kern w:val="0"/>
          <w:sz w:val="32"/>
          <w:szCs w:val="32"/>
        </w:rPr>
        <w:t>2025</w:t>
      </w:r>
      <w:r>
        <w:rPr>
          <w:rFonts w:cs="Times New Roman"/>
          <w:kern w:val="0"/>
          <w:sz w:val="32"/>
          <w:szCs w:val="32"/>
        </w:rPr>
        <w:t>年</w:t>
      </w:r>
      <w:r>
        <w:rPr>
          <w:rFonts w:cs="Times New Roman"/>
          <w:kern w:val="0"/>
          <w:sz w:val="32"/>
          <w:szCs w:val="32"/>
        </w:rPr>
        <w:t>10</w:t>
      </w:r>
      <w:r>
        <w:rPr>
          <w:rFonts w:cs="Times New Roman"/>
          <w:kern w:val="0"/>
          <w:sz w:val="32"/>
          <w:szCs w:val="32"/>
        </w:rPr>
        <w:t>月</w:t>
      </w:r>
      <w:r>
        <w:rPr>
          <w:rFonts w:cs="Times New Roman"/>
          <w:kern w:val="0"/>
          <w:sz w:val="32"/>
          <w:szCs w:val="32"/>
        </w:rPr>
        <w:t>20</w:t>
      </w:r>
      <w:r>
        <w:rPr>
          <w:rFonts w:cs="Times New Roman"/>
          <w:kern w:val="0"/>
          <w:sz w:val="32"/>
          <w:szCs w:val="32"/>
        </w:rPr>
        <w:t>日</w:t>
      </w:r>
      <w:r>
        <w:rPr>
          <w:rFonts w:cs="Times New Roman"/>
          <w:kern w:val="0"/>
          <w:sz w:val="32"/>
          <w:szCs w:val="32"/>
        </w:rPr>
        <w:t xml:space="preserve">      </w:t>
      </w:r>
      <w:r>
        <w:rPr>
          <w:rFonts w:eastAsia="方正仿宋_GBK" w:cs="Times New Roman" w:hint="eastAsia"/>
          <w:kern w:val="0"/>
          <w:sz w:val="32"/>
          <w:szCs w:val="32"/>
        </w:rPr>
        <w:t xml:space="preserve"> </w:t>
      </w:r>
    </w:p>
    <w:p w:rsidR="00006245" w:rsidRDefault="00F951D0">
      <w:pPr>
        <w:spacing w:line="576" w:lineRule="exact"/>
        <w:jc w:val="center"/>
        <w:rPr>
          <w:rFonts w:ascii="Times New Roman" w:eastAsia="方正小标宋_GBK" w:hAnsi="Times New Roman" w:cs="方正小标宋_GBK"/>
          <w:spacing w:val="-11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pacing w:val="-11"/>
          <w:sz w:val="44"/>
          <w:szCs w:val="44"/>
        </w:rPr>
        <w:lastRenderedPageBreak/>
        <w:t>宜兴市楼宇经济高质量发展实施意见（试行）</w:t>
      </w:r>
    </w:p>
    <w:p w:rsidR="00006245" w:rsidRDefault="00006245">
      <w:pPr>
        <w:overflowPunct w:val="0"/>
        <w:spacing w:line="456" w:lineRule="exact"/>
        <w:jc w:val="center"/>
        <w:rPr>
          <w:rFonts w:ascii="Times New Roman" w:eastAsia="仿宋_GB2312" w:hAnsi="Times New Roman" w:cs="Times New Roman"/>
          <w:szCs w:val="32"/>
        </w:rPr>
      </w:pP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楼宇经济作为城市发展中的一种新型高质量发展经济形态，呈现出产业集聚与集群发展的特点，是我市产业转型和城市品质提升的重要载体。为进一步提升楼宇经济发展质效，加速现代高端服务业集聚发展，现结合我市实际，就促进楼宇经济高质量发展提出如下意见。</w:t>
      </w:r>
    </w:p>
    <w:p w:rsidR="00006245" w:rsidRDefault="00F951D0">
      <w:pPr>
        <w:spacing w:line="560" w:lineRule="exact"/>
        <w:ind w:firstLineChars="200" w:firstLine="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一、指导思想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坚持以习近平新时代中国特色社会主义思想为指导，全面落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实习近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平总书记对江苏工作重要讲话重要指示精神，紧紧围绕宜兴市打造区域中心城市的目标定位，牢牢把握高质量发展首要任务，以创新驱动和产业升级为核心，促进现代服务业与先进制造业深度融合，全过程提升楼宇经济的功能品质和产出效益，打造一批区域集中、产业集聚、企业集群、功能集成的高端商务楼宇，构建具有宜兴特色的楼宇经济发展新格局，为推动宜兴市经济社会高质量发展提供有力支撑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006245" w:rsidRDefault="00F951D0">
      <w:pPr>
        <w:spacing w:line="560" w:lineRule="exact"/>
        <w:ind w:firstLineChars="200" w:firstLine="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/>
          <w:szCs w:val="32"/>
        </w:rPr>
        <w:t>二、主要目标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实现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五个一批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目标，即培育建设一批高品质高标准商务楼宇，提升一批产权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分散业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态散</w:t>
      </w:r>
      <w:r>
        <w:rPr>
          <w:rFonts w:ascii="Times New Roman" w:eastAsia="仿宋_GB2312" w:hAnsi="Times New Roman" w:cs="Times New Roman"/>
          <w:kern w:val="0"/>
          <w:szCs w:val="32"/>
        </w:rPr>
        <w:t>乱的存量楼宇，打造一批亿元以上高产出楼宇，培育一批总部经济、专业服务集聚明显的特色楼宇，引进培育一批招商能力强、管理水平高的金牌楼宇运营商，推动全市楼宇经济发展质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效整体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跃升。到</w:t>
      </w:r>
      <w:r>
        <w:rPr>
          <w:rFonts w:ascii="Times New Roman" w:eastAsia="仿宋_GB2312" w:hAnsi="Times New Roman" w:cs="Times New Roman"/>
          <w:kern w:val="0"/>
          <w:szCs w:val="32"/>
        </w:rPr>
        <w:t>2028</w:t>
      </w:r>
      <w:r>
        <w:rPr>
          <w:rFonts w:ascii="Times New Roman" w:eastAsia="仿宋_GB2312" w:hAnsi="Times New Roman" w:cs="Times New Roman"/>
          <w:kern w:val="0"/>
          <w:szCs w:val="32"/>
        </w:rPr>
        <w:t>年末，培育星级楼宇</w:t>
      </w:r>
      <w:r>
        <w:rPr>
          <w:rFonts w:ascii="Times New Roman" w:eastAsia="仿宋_GB2312" w:hAnsi="Times New Roman" w:cs="Times New Roman"/>
          <w:kern w:val="0"/>
          <w:szCs w:val="32"/>
        </w:rPr>
        <w:t>20</w:t>
      </w:r>
      <w:r>
        <w:rPr>
          <w:rFonts w:ascii="Times New Roman" w:eastAsia="仿宋_GB2312" w:hAnsi="Times New Roman" w:cs="Times New Roman"/>
          <w:kern w:val="0"/>
          <w:szCs w:val="32"/>
        </w:rPr>
        <w:t>幢以上</w:t>
      </w:r>
      <w:r>
        <w:rPr>
          <w:rFonts w:ascii="Times New Roman" w:eastAsia="仿宋_GB2312" w:hAnsi="Times New Roman" w:cs="Times New Roman"/>
          <w:kern w:val="0"/>
          <w:szCs w:val="32"/>
        </w:rPr>
        <w:t>；</w:t>
      </w:r>
      <w:r>
        <w:rPr>
          <w:rFonts w:ascii="Times New Roman" w:eastAsia="仿宋_GB2312" w:hAnsi="Times New Roman" w:cs="Times New Roman"/>
          <w:kern w:val="0"/>
          <w:szCs w:val="32"/>
        </w:rPr>
        <w:t>全市商务</w:t>
      </w:r>
      <w:r>
        <w:rPr>
          <w:rFonts w:ascii="Times New Roman" w:eastAsia="仿宋_GB2312" w:hAnsi="Times New Roman" w:cs="Times New Roman"/>
          <w:kern w:val="0"/>
          <w:szCs w:val="32"/>
        </w:rPr>
        <w:lastRenderedPageBreak/>
        <w:t>楼宇整体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入驻率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达</w:t>
      </w:r>
      <w:r>
        <w:rPr>
          <w:rFonts w:ascii="Times New Roman" w:eastAsia="仿宋_GB2312" w:hAnsi="Times New Roman" w:cs="Times New Roman"/>
          <w:kern w:val="0"/>
          <w:szCs w:val="32"/>
        </w:rPr>
        <w:t>70%</w:t>
      </w:r>
      <w:r>
        <w:rPr>
          <w:rFonts w:ascii="Times New Roman" w:eastAsia="仿宋_GB2312" w:hAnsi="Times New Roman" w:cs="Times New Roman"/>
          <w:kern w:val="0"/>
          <w:szCs w:val="32"/>
        </w:rPr>
        <w:t>，楼宇内集聚企业超</w:t>
      </w:r>
      <w:r>
        <w:rPr>
          <w:rFonts w:ascii="Times New Roman" w:eastAsia="仿宋_GB2312" w:hAnsi="Times New Roman" w:cs="Times New Roman"/>
          <w:kern w:val="0"/>
          <w:szCs w:val="32"/>
        </w:rPr>
        <w:t>3000</w:t>
      </w:r>
      <w:r>
        <w:rPr>
          <w:rFonts w:ascii="Times New Roman" w:eastAsia="仿宋_GB2312" w:hAnsi="Times New Roman" w:cs="Times New Roman"/>
          <w:kern w:val="0"/>
          <w:szCs w:val="32"/>
        </w:rPr>
        <w:t>家。</w:t>
      </w:r>
    </w:p>
    <w:p w:rsidR="00006245" w:rsidRDefault="00F951D0">
      <w:pPr>
        <w:spacing w:line="560" w:lineRule="exact"/>
        <w:ind w:firstLineChars="200" w:firstLine="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/>
          <w:szCs w:val="32"/>
        </w:rPr>
        <w:t>三、重点任务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1.</w:t>
      </w:r>
      <w:r>
        <w:rPr>
          <w:rFonts w:ascii="Times New Roman" w:eastAsia="楷体_GB2312" w:hAnsi="Times New Roman" w:cs="Times New Roman"/>
          <w:kern w:val="0"/>
          <w:szCs w:val="32"/>
        </w:rPr>
        <w:t>提升新建楼宇开发品质</w:t>
      </w:r>
      <w:r>
        <w:rPr>
          <w:rFonts w:ascii="Times New Roman" w:eastAsia="仿宋_GB2312" w:hAnsi="Times New Roman" w:cs="Times New Roman"/>
          <w:kern w:val="0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Cs w:val="32"/>
        </w:rPr>
        <w:t>坚持专业化、高端化建设管理理念，以城市共建共商思维，鼓励引进全国知名商业地产开发企业开发建设高品质楼宇，主导楼宇运营管理。支持企业独立或联合建设办公楼宇，或采取定向代建、先租后购等方式，参与开发建设高品质楼宇，并统一运营管理。出让土地时，对于商业地产中商务办公部分，</w:t>
      </w:r>
      <w:r>
        <w:rPr>
          <w:rFonts w:ascii="Times New Roman" w:eastAsia="仿宋_GB2312" w:hAnsi="Times New Roman" w:cs="Times New Roman"/>
          <w:kern w:val="0"/>
          <w:szCs w:val="32"/>
        </w:rPr>
        <w:t>明确</w:t>
      </w:r>
      <w:r>
        <w:rPr>
          <w:rFonts w:ascii="Times New Roman" w:eastAsia="仿宋_GB2312" w:hAnsi="Times New Roman" w:cs="Times New Roman"/>
          <w:kern w:val="0"/>
          <w:szCs w:val="32"/>
        </w:rPr>
        <w:t>开发商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自持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比例原则上不低于</w:t>
      </w:r>
      <w:r>
        <w:rPr>
          <w:rFonts w:ascii="Times New Roman" w:eastAsia="仿宋_GB2312" w:hAnsi="Times New Roman" w:cs="Times New Roman"/>
          <w:kern w:val="0"/>
          <w:szCs w:val="32"/>
        </w:rPr>
        <w:t>50%</w:t>
      </w:r>
      <w:r>
        <w:rPr>
          <w:rFonts w:ascii="Times New Roman" w:eastAsia="仿宋_GB2312" w:hAnsi="Times New Roman" w:cs="Times New Roman"/>
          <w:kern w:val="0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Cs w:val="32"/>
        </w:rPr>
        <w:t>并科学设定销售单位，原则上以整层或</w:t>
      </w:r>
      <w:r>
        <w:rPr>
          <w:rFonts w:ascii="Times New Roman" w:eastAsia="仿宋_GB2312" w:hAnsi="Times New Roman" w:cs="Times New Roman"/>
          <w:kern w:val="0"/>
          <w:szCs w:val="32"/>
        </w:rPr>
        <w:t>不低于</w:t>
      </w:r>
      <w:r>
        <w:rPr>
          <w:rFonts w:ascii="Times New Roman" w:eastAsia="仿宋_GB2312" w:hAnsi="Times New Roman" w:cs="Times New Roman"/>
          <w:kern w:val="0"/>
          <w:szCs w:val="32"/>
        </w:rPr>
        <w:t>1000</w:t>
      </w:r>
      <w:r>
        <w:rPr>
          <w:rFonts w:ascii="Times New Roman" w:eastAsia="仿宋_GB2312" w:hAnsi="Times New Roman" w:cs="Times New Roman"/>
          <w:kern w:val="0"/>
          <w:szCs w:val="32"/>
        </w:rPr>
        <w:t>平方米</w:t>
      </w:r>
      <w:r>
        <w:rPr>
          <w:rFonts w:ascii="Times New Roman" w:eastAsia="仿宋_GB2312" w:hAnsi="Times New Roman" w:cs="Times New Roman"/>
          <w:kern w:val="0"/>
          <w:szCs w:val="32"/>
        </w:rPr>
        <w:t>作为最小销售单位。</w:t>
      </w:r>
      <w:r>
        <w:rPr>
          <w:rFonts w:ascii="楷体_GB2312" w:eastAsia="楷体_GB2312" w:hAnsi="楷体_GB2312" w:cs="楷体_GB2312" w:hint="eastAsia"/>
          <w:kern w:val="0"/>
          <w:szCs w:val="32"/>
        </w:rPr>
        <w:t>（责任部门：市发展改革委、市自然资源规划局、市住房城乡建设局）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2.</w:t>
      </w:r>
      <w:r>
        <w:rPr>
          <w:rFonts w:ascii="Times New Roman" w:eastAsia="楷体_GB2312" w:hAnsi="Times New Roman" w:cs="Times New Roman"/>
          <w:kern w:val="0"/>
          <w:szCs w:val="32"/>
        </w:rPr>
        <w:t>引导存量楼宇提质改造。</w:t>
      </w:r>
      <w:r>
        <w:rPr>
          <w:rFonts w:ascii="Times New Roman" w:eastAsia="仿宋_GB2312" w:hAnsi="Times New Roman" w:cs="Times New Roman"/>
          <w:kern w:val="0"/>
          <w:szCs w:val="32"/>
        </w:rPr>
        <w:t>鼓励开展存量楼宇提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质改造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工作，有序推进楼宇智能</w:t>
      </w:r>
      <w:r>
        <w:rPr>
          <w:rFonts w:ascii="Times New Roman" w:eastAsia="仿宋_GB2312" w:hAnsi="Times New Roman" w:cs="Times New Roman"/>
          <w:kern w:val="0"/>
          <w:szCs w:val="32"/>
        </w:rPr>
        <w:t>化、数字化、绿色化改</w:t>
      </w:r>
      <w:r>
        <w:rPr>
          <w:rFonts w:ascii="Times New Roman" w:eastAsia="仿宋_GB2312" w:hAnsi="Times New Roman" w:cs="Times New Roman"/>
          <w:kern w:val="0"/>
          <w:szCs w:val="32"/>
        </w:rPr>
        <w:t>造，推进楼宇消防安全改造升级，同步提升楼宇安全标准，提高</w:t>
      </w:r>
      <w:r>
        <w:rPr>
          <w:rFonts w:ascii="Times New Roman" w:eastAsia="仿宋_GB2312" w:hAnsi="Times New Roman" w:cs="Times New Roman"/>
          <w:kern w:val="0"/>
          <w:szCs w:val="32"/>
        </w:rPr>
        <w:t>整体物业服务水平。鼓励楼宇运营主体通过改造扩容、出售转让、功能置换等方式促进存量消化盘活，降低空置率。支持国有资本、社会资本多方参与，鼓励楼宇产权方、运营商联合开展存量楼宇改造提升；支持老旧楼宇增设停车场、加装电梯、休闲空间等新设施，使用节能降耗设施设备，搭建创新创业服务平台，提升楼宇硬件水平和产业服务功能。</w:t>
      </w:r>
      <w:r>
        <w:rPr>
          <w:rFonts w:ascii="楷体_GB2312" w:eastAsia="楷体_GB2312" w:hAnsi="楷体_GB2312" w:cs="楷体_GB2312"/>
          <w:kern w:val="0"/>
          <w:szCs w:val="32"/>
        </w:rPr>
        <w:t>（责任部门：市发展改革委、市财政局、市自然资源规划局、市住房城乡建设局、市城管局、市市场监督</w:t>
      </w:r>
      <w:r>
        <w:rPr>
          <w:rFonts w:ascii="楷体_GB2312" w:eastAsia="楷体_GB2312" w:hAnsi="楷体_GB2312" w:cs="楷体_GB2312"/>
          <w:kern w:val="0"/>
          <w:szCs w:val="32"/>
        </w:rPr>
        <w:lastRenderedPageBreak/>
        <w:t>管理局、市消防大队）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3.</w:t>
      </w:r>
      <w:r>
        <w:rPr>
          <w:rFonts w:ascii="Times New Roman" w:eastAsia="楷体_GB2312" w:hAnsi="Times New Roman" w:cs="Times New Roman"/>
          <w:kern w:val="0"/>
          <w:szCs w:val="32"/>
        </w:rPr>
        <w:t>提升整体统一运营能力。</w:t>
      </w:r>
      <w:r>
        <w:rPr>
          <w:rFonts w:ascii="Times New Roman" w:eastAsia="仿宋_GB2312" w:hAnsi="Times New Roman" w:cs="Times New Roman"/>
          <w:kern w:val="0"/>
          <w:szCs w:val="32"/>
        </w:rPr>
        <w:t>积极推动楼宇整体持有并统一运营，实施整体集中管理。引导各类运营主体整合购买，或整合租赁楼宇，开展统一运营；要加大力度招引一批国际、国内知名楼宇运营主体，提升楼宇专业化运营水平；鼓励通过信贷资产支持证券（</w:t>
      </w:r>
      <w:r>
        <w:rPr>
          <w:rFonts w:ascii="Times New Roman" w:eastAsia="仿宋_GB2312" w:hAnsi="Times New Roman" w:cs="Times New Roman"/>
          <w:kern w:val="0"/>
          <w:szCs w:val="32"/>
        </w:rPr>
        <w:t>ABS</w:t>
      </w:r>
      <w:r>
        <w:rPr>
          <w:rFonts w:ascii="Times New Roman" w:eastAsia="仿宋_GB2312" w:hAnsi="Times New Roman" w:cs="Times New Roman"/>
          <w:kern w:val="0"/>
          <w:szCs w:val="32"/>
        </w:rPr>
        <w:t>）、商业房地产抵押贷款支持证券（</w:t>
      </w:r>
      <w:r>
        <w:rPr>
          <w:rFonts w:ascii="Times New Roman" w:eastAsia="仿宋_GB2312" w:hAnsi="Times New Roman" w:cs="Times New Roman"/>
          <w:kern w:val="0"/>
          <w:szCs w:val="32"/>
        </w:rPr>
        <w:t>CMBS</w:t>
      </w:r>
      <w:r>
        <w:rPr>
          <w:rFonts w:ascii="Times New Roman" w:eastAsia="仿宋_GB2312" w:hAnsi="Times New Roman" w:cs="Times New Roman"/>
          <w:kern w:val="0"/>
          <w:szCs w:val="32"/>
        </w:rPr>
        <w:t>）等金融创新工具，推动楼宇资产证券化，提升楼宇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自持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自营比例。</w:t>
      </w:r>
      <w:r>
        <w:rPr>
          <w:rFonts w:ascii="楷体_GB2312" w:eastAsia="楷体_GB2312" w:hAnsi="楷体_GB2312" w:cs="楷体_GB2312"/>
          <w:kern w:val="0"/>
          <w:szCs w:val="32"/>
        </w:rPr>
        <w:t>（责任单位：市发展改革委、市住房城乡建设局、市商务局、市金融服务中心）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4.</w:t>
      </w:r>
      <w:r>
        <w:rPr>
          <w:rFonts w:ascii="Times New Roman" w:eastAsia="楷体_GB2312" w:hAnsi="Times New Roman" w:cs="Times New Roman"/>
          <w:kern w:val="0"/>
          <w:szCs w:val="32"/>
        </w:rPr>
        <w:t>推进楼宇精准招商。</w:t>
      </w:r>
      <w:r>
        <w:rPr>
          <w:rFonts w:ascii="Times New Roman" w:eastAsia="仿宋_GB2312" w:hAnsi="Times New Roman" w:cs="Times New Roman"/>
          <w:kern w:val="0"/>
          <w:szCs w:val="32"/>
        </w:rPr>
        <w:t>对新建楼宇或改造提升楼宇，提前介入产业定位招商，建立政府与楼宇产权主体、运营主体联合</w:t>
      </w:r>
      <w:r>
        <w:rPr>
          <w:rFonts w:ascii="Times New Roman" w:eastAsia="仿宋_GB2312" w:hAnsi="Times New Roman" w:cs="Times New Roman"/>
          <w:kern w:val="0"/>
          <w:szCs w:val="32"/>
        </w:rPr>
        <w:t>招商机制，构建楼宇招商信息共享平台，将楼宇招商纳入全市大招商体系统一部署、一体推进；加强楼宇推广宣传，提高重点楼宇吸引力和影响力；开展楼宇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产业链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招商，围绕数字赋能型、知识驱动型、消费导向型新兴服务业方向，重点招引一批高端专业服务机构、数字经济、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科创经济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企业，打造资本、技术、人才等要素互融的楼宇产业生态链，提高楼宇产业关联度；</w:t>
      </w:r>
      <w:r>
        <w:rPr>
          <w:rFonts w:ascii="Times New Roman" w:eastAsia="仿宋_GB2312" w:hAnsi="Times New Roman" w:cs="Times New Roman"/>
          <w:kern w:val="0"/>
          <w:szCs w:val="32"/>
        </w:rPr>
        <w:t>聚力吸引、培育</w:t>
      </w:r>
      <w:r>
        <w:rPr>
          <w:rFonts w:ascii="Times New Roman" w:eastAsia="仿宋_GB2312" w:hAnsi="Times New Roman" w:cs="Times New Roman"/>
          <w:kern w:val="0"/>
          <w:szCs w:val="32"/>
        </w:rPr>
        <w:t>跨国公司、央国企、优质民企、上市公司区域性总部和结算中心、运营中心、研发中心、营销中心等功能性机构入驻楼宇，提升楼宇产业发展层次。</w:t>
      </w:r>
      <w:r>
        <w:rPr>
          <w:rFonts w:ascii="楷体_GB2312" w:eastAsia="楷体_GB2312" w:hAnsi="楷体_GB2312" w:cs="楷体_GB2312"/>
          <w:kern w:val="0"/>
          <w:szCs w:val="32"/>
        </w:rPr>
        <w:t>（责任单位：市发展改革委、市科技局、市</w:t>
      </w:r>
      <w:r>
        <w:rPr>
          <w:rFonts w:ascii="楷体_GB2312" w:eastAsia="楷体_GB2312" w:hAnsi="楷体_GB2312" w:cs="楷体_GB2312"/>
          <w:kern w:val="0"/>
          <w:szCs w:val="32"/>
        </w:rPr>
        <w:t>工业和信息化局、市商务局、市市场监督管理局）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lastRenderedPageBreak/>
        <w:t>5.</w:t>
      </w:r>
      <w:r>
        <w:rPr>
          <w:rFonts w:ascii="Times New Roman" w:eastAsia="楷体_GB2312" w:hAnsi="Times New Roman" w:cs="Times New Roman"/>
          <w:kern w:val="0"/>
          <w:szCs w:val="32"/>
        </w:rPr>
        <w:t>打造专业化特色楼宇。</w:t>
      </w:r>
      <w:r>
        <w:rPr>
          <w:rFonts w:ascii="Times New Roman" w:eastAsia="仿宋_GB2312" w:hAnsi="Times New Roman" w:cs="Times New Roman"/>
          <w:kern w:val="0"/>
          <w:szCs w:val="32"/>
        </w:rPr>
        <w:t>引导楼宇产业集群化、高端化、品牌化发展，打造一批标杆性主题楼宇、特色楼宇。引导各板块打造符合产业方向的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楼宇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特色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专业楼宇，支持楼宇运营主体开展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二次招商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，构建特色楼宇产业生态。推动楼宇向现代服务业集聚区提档升级，支持楼宇突出专业主题，推进高端服务业垂直集聚，打造服务业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垂直开发区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Cs w:val="32"/>
        </w:rPr>
        <w:t>宜城街道侧重发展商务办公、软件信息、金融等专业楼宇；丁蜀镇、陶都科技新城侧重发展电商直播、智能制造等服务型楼宇；经开区、环科园侧重研发、检测、物流等特</w:t>
      </w:r>
      <w:r>
        <w:rPr>
          <w:rFonts w:ascii="Times New Roman" w:eastAsia="仿宋_GB2312" w:hAnsi="Times New Roman" w:cs="Times New Roman"/>
          <w:kern w:val="0"/>
          <w:szCs w:val="32"/>
        </w:rPr>
        <w:t>色产业楼宇；度假区加快发展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文旅文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创等楼宇。推进楼宇标准化、专业化建设，参考企业入驻率、入驻品质、产业集聚水平、综合贡献度等方面，</w:t>
      </w:r>
      <w:r>
        <w:rPr>
          <w:rFonts w:ascii="Times New Roman" w:eastAsia="仿宋_GB2312" w:hAnsi="Times New Roman" w:cs="Times New Roman"/>
          <w:kern w:val="0"/>
          <w:szCs w:val="32"/>
        </w:rPr>
        <w:t>制定地区</w:t>
      </w:r>
      <w:r>
        <w:rPr>
          <w:rFonts w:ascii="Times New Roman" w:eastAsia="仿宋_GB2312" w:hAnsi="Times New Roman" w:cs="Times New Roman"/>
          <w:kern w:val="0"/>
          <w:szCs w:val="32"/>
        </w:rPr>
        <w:t>认定办法</w:t>
      </w:r>
      <w:r>
        <w:rPr>
          <w:rFonts w:ascii="Times New Roman" w:eastAsia="仿宋_GB2312" w:hAnsi="Times New Roman" w:cs="Times New Roman"/>
          <w:kern w:val="0"/>
          <w:szCs w:val="32"/>
        </w:rPr>
        <w:t>，评</w:t>
      </w:r>
      <w:r>
        <w:rPr>
          <w:rFonts w:ascii="Times New Roman" w:eastAsia="仿宋_GB2312" w:hAnsi="Times New Roman" w:cs="Times New Roman"/>
          <w:kern w:val="0"/>
          <w:szCs w:val="32"/>
        </w:rPr>
        <w:t>选认定一批星级楼宇。</w:t>
      </w:r>
      <w:r>
        <w:rPr>
          <w:rFonts w:ascii="楷体_GB2312" w:eastAsia="楷体_GB2312" w:hAnsi="楷体_GB2312" w:cs="楷体_GB2312"/>
          <w:kern w:val="0"/>
          <w:szCs w:val="32"/>
        </w:rPr>
        <w:t>（责任单位：市发展改革委、市科技局、市工业和信息化局、市商务局、市市场监督管理局）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6.</w:t>
      </w:r>
      <w:r>
        <w:rPr>
          <w:rFonts w:ascii="Times New Roman" w:eastAsia="楷体_GB2312" w:hAnsi="Times New Roman" w:cs="Times New Roman"/>
          <w:kern w:val="0"/>
          <w:szCs w:val="32"/>
        </w:rPr>
        <w:t>壮大楼宇发展规模。</w:t>
      </w:r>
      <w:r>
        <w:rPr>
          <w:rFonts w:ascii="Times New Roman" w:eastAsia="仿宋_GB2312" w:hAnsi="Times New Roman" w:cs="Times New Roman"/>
          <w:kern w:val="0"/>
          <w:szCs w:val="32"/>
        </w:rPr>
        <w:t>鼓励楼宇增量发展，提高楼宇企业注册率和属地</w:t>
      </w:r>
      <w:r>
        <w:rPr>
          <w:rFonts w:ascii="Times New Roman" w:eastAsia="仿宋_GB2312" w:hAnsi="Times New Roman" w:cs="Times New Roman"/>
          <w:kern w:val="0"/>
          <w:szCs w:val="32"/>
        </w:rPr>
        <w:t>税收贡献率</w:t>
      </w:r>
      <w:r>
        <w:rPr>
          <w:rFonts w:ascii="Times New Roman" w:eastAsia="仿宋_GB2312" w:hAnsi="Times New Roman" w:cs="Times New Roman"/>
          <w:kern w:val="0"/>
          <w:szCs w:val="32"/>
        </w:rPr>
        <w:t>，培</w:t>
      </w:r>
      <w:r>
        <w:rPr>
          <w:rFonts w:ascii="Times New Roman" w:eastAsia="仿宋_GB2312" w:hAnsi="Times New Roman" w:cs="Times New Roman"/>
          <w:kern w:val="0"/>
          <w:szCs w:val="32"/>
        </w:rPr>
        <w:t>育一批高产出、贡献大、规模型楼宇。加强重点税源企业跟踪制度，强化纳税服务，确保楼宇企业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应统尽统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、应收尽收，实施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准亿元楼宇</w:t>
      </w:r>
      <w:r>
        <w:rPr>
          <w:rFonts w:ascii="Times New Roman" w:eastAsia="仿宋_GB2312" w:hAnsi="Times New Roman" w:cs="Times New Roman"/>
          <w:kern w:val="0"/>
          <w:szCs w:val="32"/>
        </w:rPr>
        <w:t>”“</w:t>
      </w:r>
      <w:r>
        <w:rPr>
          <w:rFonts w:ascii="Times New Roman" w:eastAsia="仿宋_GB2312" w:hAnsi="Times New Roman" w:cs="Times New Roman"/>
          <w:kern w:val="0"/>
          <w:szCs w:val="32"/>
        </w:rPr>
        <w:t>亿元楼宇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梯度培育计划，助推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千万元楼宇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加快晋级，不断扩大税源楼宇储备。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以楼聚产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，推动楼宇经济集群化、规模化发展。</w:t>
      </w:r>
      <w:r>
        <w:rPr>
          <w:rFonts w:ascii="楷体_GB2312" w:eastAsia="楷体_GB2312" w:hAnsi="楷体_GB2312" w:cs="楷体_GB2312"/>
          <w:kern w:val="0"/>
          <w:szCs w:val="32"/>
        </w:rPr>
        <w:t>（责任单位：市发展改革委、市税务局）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7.</w:t>
      </w:r>
      <w:r>
        <w:rPr>
          <w:rFonts w:ascii="Times New Roman" w:eastAsia="楷体_GB2312" w:hAnsi="Times New Roman" w:cs="Times New Roman"/>
          <w:kern w:val="0"/>
          <w:szCs w:val="32"/>
        </w:rPr>
        <w:t>提升楼宇综合服务管理水平。</w:t>
      </w:r>
      <w:r>
        <w:rPr>
          <w:rFonts w:ascii="Times New Roman" w:eastAsia="仿宋_GB2312" w:hAnsi="Times New Roman" w:cs="Times New Roman"/>
          <w:spacing w:val="-4"/>
          <w:szCs w:val="32"/>
        </w:rPr>
        <w:t>推进政务服务进楼宇，</w:t>
      </w:r>
      <w:r>
        <w:rPr>
          <w:rFonts w:ascii="Times New Roman" w:eastAsia="仿宋_GB2312" w:hAnsi="Times New Roman" w:cs="Times New Roman"/>
          <w:spacing w:val="-4"/>
          <w:szCs w:val="32"/>
        </w:rPr>
        <w:lastRenderedPageBreak/>
        <w:t>在具备条件的重点楼宇设立</w:t>
      </w:r>
      <w:r>
        <w:rPr>
          <w:rFonts w:ascii="Times New Roman" w:eastAsia="仿宋_GB2312" w:hAnsi="Times New Roman" w:cs="Times New Roman"/>
          <w:spacing w:val="-4"/>
          <w:szCs w:val="32"/>
        </w:rPr>
        <w:t>“</w:t>
      </w:r>
      <w:r>
        <w:rPr>
          <w:rFonts w:ascii="Times New Roman" w:eastAsia="仿宋_GB2312" w:hAnsi="Times New Roman" w:cs="Times New Roman"/>
          <w:spacing w:val="-4"/>
          <w:szCs w:val="32"/>
        </w:rPr>
        <w:t>怡心办</w:t>
      </w:r>
      <w:r>
        <w:rPr>
          <w:rFonts w:ascii="Times New Roman" w:eastAsia="仿宋_GB2312" w:hAnsi="Times New Roman" w:cs="Times New Roman"/>
          <w:spacing w:val="-4"/>
          <w:szCs w:val="32"/>
        </w:rPr>
        <w:t>”</w:t>
      </w:r>
      <w:r>
        <w:rPr>
          <w:rFonts w:ascii="Times New Roman" w:eastAsia="仿宋_GB2312" w:hAnsi="Times New Roman" w:cs="Times New Roman"/>
          <w:spacing w:val="-4"/>
          <w:szCs w:val="32"/>
        </w:rPr>
        <w:t>便民服务站点，推动自助终端向楼宇延伸，实现政务服务项目自助办理；推进运营服务进楼宇，建立</w:t>
      </w:r>
      <w:r>
        <w:rPr>
          <w:rFonts w:ascii="Times New Roman" w:eastAsia="仿宋_GB2312" w:hAnsi="Times New Roman" w:cs="Times New Roman"/>
          <w:spacing w:val="-4"/>
          <w:szCs w:val="32"/>
        </w:rPr>
        <w:t>“</w:t>
      </w:r>
      <w:r>
        <w:rPr>
          <w:rFonts w:ascii="Times New Roman" w:eastAsia="仿宋_GB2312" w:hAnsi="Times New Roman" w:cs="Times New Roman"/>
          <w:spacing w:val="-4"/>
          <w:szCs w:val="32"/>
        </w:rPr>
        <w:t>市、镇（街）、楼</w:t>
      </w:r>
      <w:r>
        <w:rPr>
          <w:rFonts w:ascii="Times New Roman" w:eastAsia="仿宋_GB2312" w:hAnsi="Times New Roman" w:cs="Times New Roman"/>
          <w:spacing w:val="-4"/>
          <w:szCs w:val="32"/>
        </w:rPr>
        <w:t>”</w:t>
      </w:r>
      <w:r>
        <w:rPr>
          <w:rFonts w:ascii="Times New Roman" w:eastAsia="仿宋_GB2312" w:hAnsi="Times New Roman" w:cs="Times New Roman"/>
          <w:spacing w:val="-4"/>
          <w:szCs w:val="32"/>
        </w:rPr>
        <w:t>三级楼宇服务机制，以属地板块为主体，</w:t>
      </w:r>
      <w:r>
        <w:rPr>
          <w:rFonts w:ascii="Times New Roman" w:eastAsia="仿宋_GB2312" w:hAnsi="Times New Roman" w:cs="Times New Roman"/>
          <w:spacing w:val="-4"/>
          <w:szCs w:val="32"/>
        </w:rPr>
        <w:t>设立各楼宇</w:t>
      </w:r>
      <w:r>
        <w:rPr>
          <w:rFonts w:ascii="Times New Roman" w:eastAsia="仿宋_GB2312" w:hAnsi="Times New Roman" w:cs="Times New Roman"/>
          <w:spacing w:val="-4"/>
          <w:szCs w:val="32"/>
        </w:rPr>
        <w:t>“</w:t>
      </w:r>
      <w:r>
        <w:rPr>
          <w:rFonts w:ascii="Times New Roman" w:eastAsia="仿宋_GB2312" w:hAnsi="Times New Roman" w:cs="Times New Roman"/>
          <w:spacing w:val="-4"/>
          <w:szCs w:val="32"/>
        </w:rPr>
        <w:t>楼长</w:t>
      </w:r>
      <w:r>
        <w:rPr>
          <w:rFonts w:ascii="Times New Roman" w:eastAsia="仿宋_GB2312" w:hAnsi="Times New Roman" w:cs="Times New Roman"/>
          <w:spacing w:val="-4"/>
          <w:szCs w:val="32"/>
        </w:rPr>
        <w:t>”</w:t>
      </w:r>
      <w:r>
        <w:rPr>
          <w:rFonts w:ascii="Times New Roman" w:eastAsia="仿宋_GB2312" w:hAnsi="Times New Roman" w:cs="Times New Roman"/>
          <w:spacing w:val="-4"/>
          <w:szCs w:val="32"/>
        </w:rPr>
        <w:t>，协同做好楼宇招商、产业培育、运营拓展等指导服务。鼓励星级楼宇设立工作站，引入律所、会计师事务所、银行等第三</w:t>
      </w:r>
      <w:proofErr w:type="gramStart"/>
      <w:r>
        <w:rPr>
          <w:rFonts w:ascii="Times New Roman" w:eastAsia="仿宋_GB2312" w:hAnsi="Times New Roman" w:cs="Times New Roman"/>
          <w:spacing w:val="-4"/>
          <w:szCs w:val="32"/>
        </w:rPr>
        <w:t>方服务</w:t>
      </w:r>
      <w:proofErr w:type="gramEnd"/>
      <w:r>
        <w:rPr>
          <w:rFonts w:ascii="Times New Roman" w:eastAsia="仿宋_GB2312" w:hAnsi="Times New Roman" w:cs="Times New Roman"/>
          <w:spacing w:val="-4"/>
          <w:szCs w:val="32"/>
        </w:rPr>
        <w:t>机构进驻，开设财务法</w:t>
      </w:r>
      <w:proofErr w:type="gramStart"/>
      <w:r>
        <w:rPr>
          <w:rFonts w:ascii="Times New Roman" w:eastAsia="仿宋_GB2312" w:hAnsi="Times New Roman" w:cs="Times New Roman"/>
          <w:spacing w:val="-4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pacing w:val="-4"/>
          <w:szCs w:val="32"/>
        </w:rPr>
        <w:t>、品牌产权、投资金融等服务窗口，向楼宇企业提供相关服务；推进</w:t>
      </w:r>
      <w:proofErr w:type="gramStart"/>
      <w:r>
        <w:rPr>
          <w:rFonts w:ascii="Times New Roman" w:eastAsia="仿宋_GB2312" w:hAnsi="Times New Roman" w:cs="Times New Roman"/>
          <w:spacing w:val="-4"/>
          <w:szCs w:val="32"/>
        </w:rPr>
        <w:t>数智管理进</w:t>
      </w:r>
      <w:proofErr w:type="gramEnd"/>
      <w:r>
        <w:rPr>
          <w:rFonts w:ascii="Times New Roman" w:eastAsia="仿宋_GB2312" w:hAnsi="Times New Roman" w:cs="Times New Roman"/>
          <w:spacing w:val="-4"/>
          <w:szCs w:val="32"/>
        </w:rPr>
        <w:t>楼宇，有序推进楼宇智能化、数字化管理，鼓励建设智慧服务云平台，实现信息采集、数据统计、政务服务、招商信息交互一体化管理；建立综合评价监测体系，强化楼宇经济动态监测，从入驻企业品质、产业集聚水平、综合贡献度、行业影响力、未来发展潜力、硬件环境、管理服务、</w:t>
      </w:r>
      <w:proofErr w:type="gramStart"/>
      <w:r>
        <w:rPr>
          <w:rFonts w:ascii="Times New Roman" w:eastAsia="仿宋_GB2312" w:hAnsi="Times New Roman" w:cs="Times New Roman"/>
          <w:spacing w:val="-4"/>
          <w:szCs w:val="32"/>
        </w:rPr>
        <w:t>楼宇党建</w:t>
      </w:r>
      <w:proofErr w:type="gramEnd"/>
      <w:r>
        <w:rPr>
          <w:rFonts w:ascii="Times New Roman" w:eastAsia="仿宋_GB2312" w:hAnsi="Times New Roman" w:cs="Times New Roman"/>
          <w:spacing w:val="-4"/>
          <w:szCs w:val="32"/>
        </w:rPr>
        <w:t>等方面，实施综合评价，评选培</w:t>
      </w:r>
      <w:r>
        <w:rPr>
          <w:rFonts w:ascii="Times New Roman" w:eastAsia="仿宋_GB2312" w:hAnsi="Times New Roman" w:cs="Times New Roman"/>
          <w:spacing w:val="-4"/>
          <w:szCs w:val="32"/>
        </w:rPr>
        <w:t>育一批综合评价优秀楼宇、专业特色楼宇、招商运营成绩突出楼宇。</w:t>
      </w:r>
      <w:r>
        <w:rPr>
          <w:rFonts w:ascii="楷体_GB2312" w:eastAsia="楷体_GB2312" w:hAnsi="楷体_GB2312" w:cs="楷体_GB2312"/>
          <w:kern w:val="0"/>
          <w:szCs w:val="32"/>
        </w:rPr>
        <w:t>（责任单位：市发展改革委、市司法局、市财政局、市自然资源规划局、市统计局、市住房城乡建设局、市数据局、市市场监督管理局）</w:t>
      </w:r>
    </w:p>
    <w:p w:rsidR="00006245" w:rsidRDefault="00F951D0">
      <w:pPr>
        <w:spacing w:line="560" w:lineRule="exact"/>
        <w:ind w:firstLineChars="200" w:firstLine="68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8.</w:t>
      </w:r>
      <w:r>
        <w:rPr>
          <w:rFonts w:ascii="Times New Roman" w:eastAsia="楷体_GB2312" w:hAnsi="Times New Roman" w:cs="Times New Roman"/>
          <w:kern w:val="0"/>
          <w:szCs w:val="32"/>
        </w:rPr>
        <w:t>发挥</w:t>
      </w:r>
      <w:proofErr w:type="gramStart"/>
      <w:r>
        <w:rPr>
          <w:rFonts w:ascii="Times New Roman" w:eastAsia="楷体_GB2312" w:hAnsi="Times New Roman" w:cs="Times New Roman"/>
          <w:kern w:val="0"/>
          <w:szCs w:val="32"/>
        </w:rPr>
        <w:t>楼宇党建</w:t>
      </w:r>
      <w:proofErr w:type="gramEnd"/>
      <w:r>
        <w:rPr>
          <w:rFonts w:ascii="Times New Roman" w:eastAsia="楷体_GB2312" w:hAnsi="Times New Roman" w:cs="Times New Roman"/>
          <w:kern w:val="0"/>
          <w:szCs w:val="32"/>
        </w:rPr>
        <w:t>引领作用。</w:t>
      </w:r>
      <w:r>
        <w:rPr>
          <w:rFonts w:ascii="Times New Roman" w:eastAsia="仿宋_GB2312" w:hAnsi="Times New Roman" w:cs="Times New Roman"/>
          <w:kern w:val="0"/>
          <w:szCs w:val="32"/>
        </w:rPr>
        <w:t>推动楼宇党组织建设，扩大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楼宇党建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工作覆盖面。依托楼宇运营主体、入驻龙头骨干企业党组织，打造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楼宇党建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共同体，建立楼宇内各类组织、企业、团体联建共建机制，凝聚发展合力，</w:t>
      </w:r>
      <w:r>
        <w:rPr>
          <w:rFonts w:ascii="Times New Roman" w:eastAsia="仿宋_GB2312" w:hAnsi="Times New Roman" w:cs="Times New Roman"/>
          <w:kern w:val="0"/>
          <w:szCs w:val="32"/>
        </w:rPr>
        <w:t>围绕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宜心向党</w:t>
      </w:r>
      <w:r>
        <w:rPr>
          <w:rFonts w:ascii="Times New Roman" w:eastAsia="仿宋_GB2312" w:hAnsi="Times New Roman" w:cs="Times New Roman"/>
          <w:kern w:val="0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Cs w:val="32"/>
        </w:rPr>
        <w:t>新兴聚力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党建工作品牌，推进楼宇友好场景建设，</w:t>
      </w:r>
      <w:r>
        <w:rPr>
          <w:rFonts w:ascii="Times New Roman" w:eastAsia="仿宋_GB2312" w:hAnsi="Times New Roman" w:cs="Times New Roman"/>
          <w:kern w:val="0"/>
          <w:szCs w:val="32"/>
        </w:rPr>
        <w:t>培育党建引领物业管理服务工作示范点，以高质量党建引</w:t>
      </w:r>
      <w:r>
        <w:rPr>
          <w:rFonts w:ascii="Times New Roman" w:eastAsia="仿宋_GB2312" w:hAnsi="Times New Roman" w:cs="Times New Roman"/>
          <w:kern w:val="0"/>
          <w:szCs w:val="32"/>
        </w:rPr>
        <w:lastRenderedPageBreak/>
        <w:t>领楼宇经济高质量发展。</w:t>
      </w:r>
      <w:r>
        <w:rPr>
          <w:rFonts w:ascii="楷体_GB2312" w:eastAsia="楷体_GB2312" w:hAnsi="楷体_GB2312" w:cs="楷体_GB2312"/>
          <w:kern w:val="0"/>
          <w:szCs w:val="32"/>
        </w:rPr>
        <w:t>（责任</w:t>
      </w:r>
      <w:r>
        <w:rPr>
          <w:rFonts w:ascii="楷体_GB2312" w:eastAsia="楷体_GB2312" w:hAnsi="楷体_GB2312" w:cs="楷体_GB2312"/>
          <w:kern w:val="0"/>
          <w:szCs w:val="32"/>
        </w:rPr>
        <w:t>单位：市委社会工作部、市住房城乡建设局）</w:t>
      </w:r>
    </w:p>
    <w:p w:rsidR="00006245" w:rsidRDefault="00F951D0">
      <w:pPr>
        <w:spacing w:line="560" w:lineRule="exact"/>
        <w:ind w:firstLineChars="200" w:firstLine="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/>
          <w:szCs w:val="32"/>
        </w:rPr>
        <w:t>四、组织实施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（一）加强组织领导。</w:t>
      </w:r>
      <w:r>
        <w:rPr>
          <w:rFonts w:ascii="Times New Roman" w:eastAsia="仿宋_GB2312" w:hAnsi="Times New Roman" w:cs="Times New Roman"/>
          <w:kern w:val="0"/>
          <w:szCs w:val="32"/>
        </w:rPr>
        <w:t>建立完善推进全市楼宇经济发展的组织体系，统筹协调全市楼宇经济发展工作，</w:t>
      </w:r>
      <w:r>
        <w:rPr>
          <w:rFonts w:ascii="Times New Roman" w:eastAsia="仿宋_GB2312" w:hAnsi="Times New Roman" w:cs="Times New Roman"/>
          <w:kern w:val="0"/>
          <w:szCs w:val="32"/>
        </w:rPr>
        <w:t>建立楼宇信息动态更新、楼宇招商联动、部门板块协同、评估反馈等工作机制，</w:t>
      </w:r>
      <w:r>
        <w:rPr>
          <w:rFonts w:ascii="Times New Roman" w:eastAsia="仿宋_GB2312" w:hAnsi="Times New Roman" w:cs="Times New Roman"/>
          <w:kern w:val="0"/>
          <w:szCs w:val="32"/>
        </w:rPr>
        <w:t>市各相关部门和板块进一步明确职责分工和职能定位，压实主体责任，强化结果运用，形成协同发力、合力推进的工作氛围，促进我市楼宇经济高质量发展。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（二）强化服务保障。</w:t>
      </w:r>
      <w:r>
        <w:rPr>
          <w:rFonts w:ascii="Times New Roman" w:eastAsia="仿宋_GB2312" w:hAnsi="Times New Roman" w:cs="Times New Roman"/>
          <w:kern w:val="0"/>
          <w:szCs w:val="32"/>
        </w:rPr>
        <w:t>着力搭建高效畅通的沟通交流平台，促进政府部门与楼宇产权主体、运营主体、物业服务企业、中介咨询机构及研究机构之间的常态化互动，及时响应诉求、解决难题，切实提升工作主动性、积极性、有效性。重点板块要结合地方实际，积极开展楼宇规划布点，明确产业定位，做好资金资源导入，提供高品质的服务保障。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楷体_GB2312" w:hAnsi="Times New Roman" w:cs="Times New Roman"/>
          <w:kern w:val="0"/>
          <w:szCs w:val="32"/>
        </w:rPr>
        <w:t>（三）营造良好氛围。</w:t>
      </w:r>
      <w:r>
        <w:rPr>
          <w:rFonts w:ascii="Times New Roman" w:eastAsia="仿宋_GB2312" w:hAnsi="Times New Roman" w:cs="Times New Roman"/>
          <w:kern w:val="0"/>
          <w:szCs w:val="32"/>
        </w:rPr>
        <w:t>充分利用线上线下各类宣传平台，加强对楼宇经济动态信息、招商合作信息、政策服务信息及特色活动的宣传推广。总结提炼并广泛宣传我市楼宇经济发展的成功经验与典型案例，积极推广可复制、可借鉴的新模式新路径，全力打造楼</w:t>
      </w:r>
      <w:r>
        <w:rPr>
          <w:rFonts w:ascii="Times New Roman" w:eastAsia="仿宋_GB2312" w:hAnsi="Times New Roman" w:cs="Times New Roman"/>
          <w:kern w:val="0"/>
          <w:szCs w:val="32"/>
        </w:rPr>
        <w:t>宇经济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宜兴品牌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。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本实施意见自发布之日起施行，试行期一年。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附件：宜兴市楼宇经济高质量发展扶持政策</w:t>
      </w:r>
    </w:p>
    <w:p w:rsidR="00006245" w:rsidRDefault="00F951D0">
      <w:pPr>
        <w:spacing w:line="560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lastRenderedPageBreak/>
        <w:br w:type="page"/>
      </w:r>
    </w:p>
    <w:p w:rsidR="00006245" w:rsidRDefault="00F951D0">
      <w:pPr>
        <w:spacing w:line="576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</w:p>
    <w:p w:rsidR="00006245" w:rsidRDefault="00006245">
      <w:pPr>
        <w:spacing w:line="57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006245" w:rsidRDefault="00F951D0">
      <w:pPr>
        <w:spacing w:line="57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宜兴</w:t>
      </w:r>
      <w:r>
        <w:rPr>
          <w:rFonts w:ascii="Times New Roman" w:eastAsia="方正小标宋_GBK" w:hAnsi="Times New Roman" w:cs="Times New Roman"/>
          <w:sz w:val="44"/>
          <w:szCs w:val="44"/>
        </w:rPr>
        <w:t>市楼宇经济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高质量发展扶持政策</w:t>
      </w:r>
    </w:p>
    <w:p w:rsidR="00006245" w:rsidRDefault="00006245">
      <w:pPr>
        <w:spacing w:line="576" w:lineRule="exact"/>
        <w:rPr>
          <w:rFonts w:ascii="Times New Roman" w:hAnsi="Times New Roman" w:cs="Times New Roman"/>
        </w:rPr>
      </w:pPr>
    </w:p>
    <w:p w:rsidR="00006245" w:rsidRDefault="00F951D0">
      <w:pPr>
        <w:adjustRightInd w:val="0"/>
        <w:snapToGrid w:val="0"/>
        <w:spacing w:line="576" w:lineRule="exact"/>
        <w:ind w:firstLine="645"/>
        <w:rPr>
          <w:rFonts w:ascii="黑体" w:eastAsia="黑体" w:hAnsi="黑体" w:cs="黑体"/>
          <w:spacing w:val="-4"/>
          <w:szCs w:val="32"/>
        </w:rPr>
      </w:pPr>
      <w:r>
        <w:rPr>
          <w:rFonts w:ascii="黑体" w:eastAsia="黑体" w:hAnsi="黑体" w:cs="黑体" w:hint="eastAsia"/>
          <w:spacing w:val="-4"/>
          <w:szCs w:val="32"/>
        </w:rPr>
        <w:t>一、</w:t>
      </w:r>
      <w:r>
        <w:rPr>
          <w:rFonts w:ascii="黑体" w:eastAsia="黑体" w:hAnsi="黑体" w:cs="黑体" w:hint="eastAsia"/>
          <w:spacing w:val="-4"/>
          <w:szCs w:val="32"/>
        </w:rPr>
        <w:t>推荐</w:t>
      </w:r>
      <w:r>
        <w:rPr>
          <w:rFonts w:ascii="黑体" w:eastAsia="黑体" w:hAnsi="黑体" w:cs="黑体" w:hint="eastAsia"/>
          <w:spacing w:val="-4"/>
          <w:szCs w:val="32"/>
        </w:rPr>
        <w:t>对象</w:t>
      </w:r>
    </w:p>
    <w:p w:rsidR="00006245" w:rsidRDefault="00F951D0">
      <w:pPr>
        <w:spacing w:line="576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Cs w:val="32"/>
        </w:rPr>
        <w:t>本政策所支持的楼宇是指</w:t>
      </w:r>
      <w:r>
        <w:rPr>
          <w:rFonts w:ascii="Times New Roman" w:eastAsia="仿宋_GB2312" w:hAnsi="Times New Roman" w:cs="Times New Roman"/>
          <w:kern w:val="0"/>
          <w:szCs w:val="32"/>
        </w:rPr>
        <w:t>房</w:t>
      </w:r>
      <w:r>
        <w:rPr>
          <w:rFonts w:ascii="Times New Roman" w:eastAsia="仿宋_GB2312" w:hAnsi="Times New Roman" w:cs="Times New Roman"/>
          <w:kern w:val="0"/>
          <w:szCs w:val="32"/>
        </w:rPr>
        <w:t>屋规划用途为商业办公或研发，单体建筑办公面积在</w:t>
      </w:r>
      <w:r>
        <w:rPr>
          <w:rFonts w:ascii="Times New Roman" w:eastAsia="仿宋_GB2312" w:hAnsi="Times New Roman" w:cs="Times New Roman"/>
          <w:kern w:val="0"/>
          <w:szCs w:val="32"/>
        </w:rPr>
        <w:t>8000</w:t>
      </w:r>
      <w:r>
        <w:rPr>
          <w:rFonts w:ascii="Times New Roman" w:eastAsia="仿宋_GB2312" w:hAnsi="Times New Roman" w:cs="Times New Roman"/>
          <w:kern w:val="0"/>
          <w:szCs w:val="32"/>
        </w:rPr>
        <w:t>平方米（含）以上，具有完备的物业管理和服务体系的商业楼宇，不含宾馆酒店、商场超市、公寓。</w:t>
      </w:r>
    </w:p>
    <w:p w:rsidR="00006245" w:rsidRDefault="00F951D0">
      <w:pPr>
        <w:spacing w:line="576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Cs w:val="32"/>
        </w:rPr>
        <w:t>本政策所支持的</w:t>
      </w:r>
      <w:r>
        <w:rPr>
          <w:rFonts w:ascii="Times New Roman" w:eastAsia="仿宋_GB2312" w:hAnsi="Times New Roman" w:cs="Times New Roman"/>
          <w:spacing w:val="-4"/>
          <w:szCs w:val="32"/>
        </w:rPr>
        <w:t>楼宇运营</w:t>
      </w:r>
      <w:r>
        <w:rPr>
          <w:rFonts w:ascii="Times New Roman" w:eastAsia="仿宋_GB2312" w:hAnsi="Times New Roman" w:cs="Times New Roman"/>
          <w:spacing w:val="-4"/>
          <w:szCs w:val="32"/>
        </w:rPr>
        <w:t>主体</w:t>
      </w:r>
      <w:r>
        <w:rPr>
          <w:rFonts w:ascii="Times New Roman" w:eastAsia="仿宋_GB2312" w:hAnsi="Times New Roman" w:cs="Times New Roman"/>
          <w:spacing w:val="-4"/>
          <w:szCs w:val="32"/>
        </w:rPr>
        <w:t>和入驻企业为</w:t>
      </w:r>
      <w:r>
        <w:rPr>
          <w:rFonts w:ascii="Times New Roman" w:eastAsia="仿宋_GB2312" w:hAnsi="Times New Roman" w:cs="Times New Roman"/>
          <w:kern w:val="0"/>
          <w:szCs w:val="32"/>
        </w:rPr>
        <w:t>具有法人资格、</w:t>
      </w:r>
      <w:r>
        <w:rPr>
          <w:rFonts w:ascii="Times New Roman" w:eastAsia="仿宋_GB2312" w:hAnsi="Times New Roman" w:cs="Times New Roman"/>
          <w:spacing w:val="-4"/>
          <w:szCs w:val="32"/>
        </w:rPr>
        <w:t>实行独立核算，管理制度健全</w:t>
      </w:r>
      <w:r>
        <w:rPr>
          <w:rFonts w:ascii="Times New Roman" w:eastAsia="仿宋_GB2312" w:hAnsi="Times New Roman" w:cs="Times New Roman"/>
          <w:kern w:val="0"/>
          <w:szCs w:val="32"/>
        </w:rPr>
        <w:t>，</w:t>
      </w:r>
      <w:r>
        <w:rPr>
          <w:rFonts w:ascii="Times New Roman" w:eastAsia="仿宋_GB2312" w:hAnsi="Times New Roman" w:cs="Times New Roman"/>
          <w:spacing w:val="-4"/>
          <w:szCs w:val="32"/>
        </w:rPr>
        <w:t>能够有效组织开展运营管理以及相关统计工作，无不良信用记录</w:t>
      </w:r>
      <w:r>
        <w:rPr>
          <w:rFonts w:ascii="Times New Roman" w:eastAsia="仿宋_GB2312" w:hAnsi="Times New Roman" w:cs="Times New Roman"/>
          <w:spacing w:val="-4"/>
          <w:szCs w:val="32"/>
        </w:rPr>
        <w:t>。</w:t>
      </w:r>
    </w:p>
    <w:p w:rsidR="00006245" w:rsidRDefault="00F951D0">
      <w:pPr>
        <w:adjustRightInd w:val="0"/>
        <w:snapToGrid w:val="0"/>
        <w:spacing w:line="576" w:lineRule="exact"/>
        <w:ind w:firstLine="645"/>
        <w:rPr>
          <w:rFonts w:ascii="黑体" w:eastAsia="黑体" w:hAnsi="黑体" w:cs="黑体"/>
          <w:spacing w:val="-4"/>
          <w:szCs w:val="32"/>
        </w:rPr>
      </w:pPr>
      <w:r>
        <w:rPr>
          <w:rFonts w:ascii="黑体" w:eastAsia="黑体" w:hAnsi="黑体" w:cs="黑体" w:hint="eastAsia"/>
          <w:spacing w:val="-4"/>
          <w:szCs w:val="32"/>
        </w:rPr>
        <w:t>二、</w:t>
      </w:r>
      <w:r>
        <w:rPr>
          <w:rFonts w:ascii="黑体" w:eastAsia="黑体" w:hAnsi="黑体" w:cs="黑体" w:hint="eastAsia"/>
          <w:spacing w:val="-4"/>
          <w:szCs w:val="32"/>
        </w:rPr>
        <w:t>奖励条款</w:t>
      </w:r>
    </w:p>
    <w:p w:rsidR="00006245" w:rsidRDefault="00F951D0">
      <w:pPr>
        <w:spacing w:line="576" w:lineRule="exact"/>
        <w:ind w:firstLineChars="200" w:firstLine="664"/>
        <w:rPr>
          <w:rFonts w:ascii="Times New Roman" w:eastAsia="仿宋_GB2312" w:hAnsi="Times New Roman" w:cs="Times New Roman"/>
          <w:spacing w:val="-4"/>
          <w:szCs w:val="32"/>
        </w:rPr>
      </w:pPr>
      <w:r>
        <w:rPr>
          <w:rFonts w:ascii="Times New Roman" w:eastAsia="仿宋_GB2312" w:hAnsi="Times New Roman" w:cs="Times New Roman"/>
          <w:spacing w:val="-4"/>
          <w:szCs w:val="32"/>
        </w:rPr>
        <w:t>1.</w:t>
      </w:r>
      <w:r>
        <w:rPr>
          <w:rFonts w:ascii="Times New Roman" w:eastAsia="仿宋_GB2312" w:hAnsi="Times New Roman" w:cs="Times New Roman"/>
          <w:spacing w:val="-4"/>
          <w:szCs w:val="32"/>
        </w:rPr>
        <w:t>围绕经营实绩、硬件环境、物业管理、运营质量等方面进行综合评价，评选一批市级星级楼宇，授予荣誉，并享有以下政策奖励的申请资格。</w:t>
      </w:r>
    </w:p>
    <w:p w:rsidR="00006245" w:rsidRDefault="00F951D0">
      <w:pPr>
        <w:spacing w:line="576" w:lineRule="exact"/>
        <w:ind w:firstLineChars="200" w:firstLine="664"/>
        <w:rPr>
          <w:rFonts w:ascii="Times New Roman" w:eastAsia="仿宋_GB2312" w:hAnsi="Times New Roman" w:cs="Times New Roman"/>
          <w:spacing w:val="-4"/>
          <w:szCs w:val="32"/>
        </w:rPr>
      </w:pPr>
      <w:r>
        <w:rPr>
          <w:rFonts w:ascii="Times New Roman" w:eastAsia="仿宋_GB2312" w:hAnsi="Times New Roman" w:cs="Times New Roman"/>
          <w:spacing w:val="-4"/>
          <w:szCs w:val="32"/>
        </w:rPr>
        <w:t>2.</w:t>
      </w:r>
      <w:r>
        <w:rPr>
          <w:rFonts w:ascii="Times New Roman" w:eastAsia="仿宋_GB2312" w:hAnsi="Times New Roman" w:cs="Times New Roman"/>
          <w:spacing w:val="-4"/>
          <w:szCs w:val="32"/>
        </w:rPr>
        <w:t>对星级楼宇前三名</w:t>
      </w:r>
      <w:r>
        <w:rPr>
          <w:rFonts w:ascii="Times New Roman" w:eastAsia="仿宋_GB2312" w:hAnsi="Times New Roman" w:cs="Times New Roman"/>
          <w:spacing w:val="-4"/>
          <w:szCs w:val="32"/>
        </w:rPr>
        <w:t>认定</w:t>
      </w:r>
      <w:r>
        <w:rPr>
          <w:rFonts w:ascii="Times New Roman" w:eastAsia="仿宋_GB2312" w:hAnsi="Times New Roman" w:cs="Times New Roman"/>
          <w:spacing w:val="-4"/>
          <w:szCs w:val="32"/>
        </w:rPr>
        <w:t>为</w:t>
      </w:r>
      <w:r>
        <w:rPr>
          <w:rFonts w:ascii="Times New Roman" w:eastAsia="仿宋_GB2312" w:hAnsi="Times New Roman" w:cs="Times New Roman"/>
          <w:spacing w:val="-4"/>
          <w:szCs w:val="32"/>
        </w:rPr>
        <w:t>综合评价优秀楼宇</w:t>
      </w:r>
      <w:r>
        <w:rPr>
          <w:rFonts w:ascii="Times New Roman" w:eastAsia="仿宋_GB2312" w:hAnsi="Times New Roman" w:cs="Times New Roman"/>
          <w:spacing w:val="-4"/>
          <w:szCs w:val="32"/>
        </w:rPr>
        <w:t>，</w:t>
      </w:r>
      <w:r>
        <w:rPr>
          <w:rFonts w:ascii="Times New Roman" w:eastAsia="仿宋_GB2312" w:hAnsi="Times New Roman" w:cs="Times New Roman"/>
          <w:spacing w:val="-4"/>
          <w:szCs w:val="32"/>
        </w:rPr>
        <w:t>对首次获</w:t>
      </w:r>
      <w:proofErr w:type="gramStart"/>
      <w:r>
        <w:rPr>
          <w:rFonts w:ascii="Times New Roman" w:eastAsia="仿宋_GB2312" w:hAnsi="Times New Roman" w:cs="Times New Roman"/>
          <w:spacing w:val="-4"/>
          <w:szCs w:val="32"/>
        </w:rPr>
        <w:t>评综合</w:t>
      </w:r>
      <w:proofErr w:type="gramEnd"/>
      <w:r>
        <w:rPr>
          <w:rFonts w:ascii="Times New Roman" w:eastAsia="仿宋_GB2312" w:hAnsi="Times New Roman" w:cs="Times New Roman"/>
          <w:spacing w:val="-4"/>
          <w:szCs w:val="32"/>
        </w:rPr>
        <w:t>评价优秀楼宇的楼宇实际运营机构</w:t>
      </w:r>
      <w:r>
        <w:rPr>
          <w:rFonts w:ascii="Times New Roman" w:eastAsia="仿宋_GB2312" w:hAnsi="Times New Roman" w:cs="Times New Roman"/>
          <w:spacing w:val="-4"/>
          <w:szCs w:val="32"/>
        </w:rPr>
        <w:t>，给予</w:t>
      </w:r>
      <w:r>
        <w:rPr>
          <w:rFonts w:ascii="Times New Roman" w:eastAsia="仿宋_GB2312" w:hAnsi="Times New Roman" w:cs="Times New Roman"/>
          <w:spacing w:val="-4"/>
          <w:szCs w:val="32"/>
        </w:rPr>
        <w:t>不超过</w:t>
      </w:r>
      <w:r>
        <w:rPr>
          <w:rFonts w:ascii="Times New Roman" w:eastAsia="仿宋_GB2312" w:hAnsi="Times New Roman" w:cs="Times New Roman"/>
          <w:spacing w:val="-4"/>
          <w:szCs w:val="32"/>
        </w:rPr>
        <w:t>1</w:t>
      </w:r>
      <w:r>
        <w:rPr>
          <w:rFonts w:ascii="Times New Roman" w:eastAsia="仿宋_GB2312" w:hAnsi="Times New Roman" w:cs="Times New Roman"/>
          <w:spacing w:val="-4"/>
          <w:szCs w:val="32"/>
        </w:rPr>
        <w:t>0</w:t>
      </w:r>
      <w:r>
        <w:rPr>
          <w:rFonts w:ascii="Times New Roman" w:eastAsia="仿宋_GB2312" w:hAnsi="Times New Roman" w:cs="Times New Roman"/>
          <w:spacing w:val="-4"/>
          <w:szCs w:val="32"/>
        </w:rPr>
        <w:t>万元奖励</w:t>
      </w:r>
      <w:r>
        <w:rPr>
          <w:rFonts w:ascii="Times New Roman" w:eastAsia="仿宋_GB2312" w:hAnsi="Times New Roman" w:cs="Times New Roman"/>
          <w:spacing w:val="-4"/>
          <w:szCs w:val="32"/>
        </w:rPr>
        <w:t>。</w:t>
      </w:r>
    </w:p>
    <w:p w:rsidR="00006245" w:rsidRDefault="00F951D0">
      <w:pPr>
        <w:spacing w:line="576" w:lineRule="exact"/>
        <w:ind w:firstLineChars="200" w:firstLine="664"/>
        <w:rPr>
          <w:rFonts w:ascii="Times New Roman" w:eastAsia="仿宋_GB2312" w:hAnsi="Times New Roman" w:cs="Times New Roman"/>
          <w:spacing w:val="-4"/>
          <w:szCs w:val="32"/>
        </w:rPr>
      </w:pPr>
      <w:r>
        <w:rPr>
          <w:rFonts w:ascii="Times New Roman" w:eastAsia="仿宋_GB2312" w:hAnsi="Times New Roman" w:cs="Times New Roman"/>
          <w:spacing w:val="-4"/>
          <w:szCs w:val="32"/>
        </w:rPr>
        <w:t>3.</w:t>
      </w:r>
      <w:r>
        <w:rPr>
          <w:rFonts w:ascii="Times New Roman" w:eastAsia="仿宋_GB2312" w:hAnsi="Times New Roman" w:cs="Times New Roman"/>
          <w:spacing w:val="-4"/>
          <w:szCs w:val="32"/>
        </w:rPr>
        <w:t>对符合我市专业特色楼宇标准的楼宇实际运营机构，一次性给予不超过</w:t>
      </w:r>
      <w:r>
        <w:rPr>
          <w:rFonts w:ascii="Times New Roman" w:eastAsia="仿宋_GB2312" w:hAnsi="Times New Roman" w:cs="Times New Roman"/>
          <w:spacing w:val="-4"/>
          <w:szCs w:val="32"/>
        </w:rPr>
        <w:t>10</w:t>
      </w:r>
      <w:r>
        <w:rPr>
          <w:rFonts w:ascii="Times New Roman" w:eastAsia="仿宋_GB2312" w:hAnsi="Times New Roman" w:cs="Times New Roman"/>
          <w:spacing w:val="-4"/>
          <w:szCs w:val="32"/>
        </w:rPr>
        <w:t>万元奖励，并优先推荐申报省级现代服务业高质量发展集聚示范区，争取省级专项资金支持。</w:t>
      </w:r>
    </w:p>
    <w:p w:rsidR="00006245" w:rsidRDefault="00F951D0">
      <w:pPr>
        <w:spacing w:line="576" w:lineRule="exact"/>
        <w:ind w:firstLineChars="200" w:firstLine="664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spacing w:val="-4"/>
          <w:szCs w:val="32"/>
        </w:rPr>
        <w:t>4.</w:t>
      </w:r>
      <w:r>
        <w:rPr>
          <w:rFonts w:ascii="Times New Roman" w:eastAsia="仿宋_GB2312" w:hAnsi="Times New Roman" w:cs="Times New Roman"/>
          <w:spacing w:val="-4"/>
          <w:szCs w:val="32"/>
        </w:rPr>
        <w:t>对</w:t>
      </w:r>
      <w:r>
        <w:rPr>
          <w:rFonts w:ascii="Times New Roman" w:eastAsia="仿宋_GB2312" w:hAnsi="Times New Roman" w:cs="Times New Roman"/>
          <w:kern w:val="0"/>
          <w:szCs w:val="32"/>
        </w:rPr>
        <w:t>楼宇内新入驻总部型企业、功能性机构、服务业</w:t>
      </w:r>
      <w:r>
        <w:rPr>
          <w:rFonts w:ascii="Times New Roman" w:eastAsia="仿宋_GB2312" w:hAnsi="Times New Roman" w:cs="Times New Roman"/>
          <w:kern w:val="0"/>
          <w:szCs w:val="32"/>
        </w:rPr>
        <w:lastRenderedPageBreak/>
        <w:t>领军企业和创新型示范企业、</w:t>
      </w:r>
      <w:r>
        <w:rPr>
          <w:rFonts w:ascii="Times New Roman" w:eastAsia="仿宋_GB2312" w:hAnsi="Times New Roman" w:cs="Times New Roman"/>
          <w:spacing w:val="-4"/>
          <w:szCs w:val="32"/>
        </w:rPr>
        <w:t>科技创新型企业</w:t>
      </w:r>
      <w:r>
        <w:rPr>
          <w:rFonts w:ascii="Times New Roman" w:eastAsia="仿宋_GB2312" w:hAnsi="Times New Roman" w:cs="Times New Roman"/>
          <w:kern w:val="0"/>
          <w:szCs w:val="32"/>
        </w:rPr>
        <w:t>等优质企业</w:t>
      </w:r>
      <w:r>
        <w:rPr>
          <w:rFonts w:ascii="Times New Roman" w:eastAsia="仿宋_GB2312" w:hAnsi="Times New Roman" w:cs="Times New Roman"/>
          <w:kern w:val="0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Cs w:val="32"/>
        </w:rPr>
        <w:t>家以上、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运营成效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明显的楼宇运营机构给予</w:t>
      </w:r>
      <w:r>
        <w:rPr>
          <w:rFonts w:ascii="Times New Roman" w:eastAsia="仿宋_GB2312" w:hAnsi="Times New Roman" w:cs="Times New Roman"/>
          <w:kern w:val="0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Cs w:val="32"/>
        </w:rPr>
        <w:t>万元奖励，并优先推荐申报省、市物业管理示范项目。</w:t>
      </w:r>
    </w:p>
    <w:p w:rsidR="00006245" w:rsidRDefault="00F951D0">
      <w:pPr>
        <w:spacing w:line="576" w:lineRule="exact"/>
        <w:ind w:firstLineChars="200" w:firstLine="664"/>
        <w:rPr>
          <w:rFonts w:ascii="Times New Roman" w:eastAsia="仿宋_GB2312" w:hAnsi="Times New Roman" w:cs="Times New Roman"/>
          <w:spacing w:val="-4"/>
          <w:szCs w:val="32"/>
        </w:rPr>
      </w:pPr>
      <w:r>
        <w:rPr>
          <w:rFonts w:ascii="Times New Roman" w:eastAsia="仿宋_GB2312" w:hAnsi="Times New Roman" w:cs="Times New Roman"/>
          <w:spacing w:val="-4"/>
          <w:szCs w:val="32"/>
        </w:rPr>
        <w:t>5</w:t>
      </w:r>
      <w:r>
        <w:rPr>
          <w:rFonts w:ascii="Times New Roman" w:eastAsia="仿宋_GB2312" w:hAnsi="Times New Roman" w:cs="Times New Roman"/>
          <w:spacing w:val="-4"/>
          <w:szCs w:val="32"/>
        </w:rPr>
        <w:t>.</w:t>
      </w:r>
      <w:r>
        <w:rPr>
          <w:rFonts w:ascii="Times New Roman" w:eastAsia="仿宋_GB2312" w:hAnsi="Times New Roman" w:cs="Times New Roman"/>
          <w:spacing w:val="-4"/>
          <w:szCs w:val="32"/>
        </w:rPr>
        <w:t>对新入驻（首次在宜兴注册登记）的总部型企业、功能性机构，</w:t>
      </w:r>
      <w:r>
        <w:rPr>
          <w:rFonts w:ascii="Times New Roman" w:eastAsia="仿宋_GB2312" w:hAnsi="Times New Roman" w:cs="Times New Roman"/>
          <w:spacing w:val="-4"/>
          <w:szCs w:val="32"/>
        </w:rPr>
        <w:t>持续经营</w:t>
      </w:r>
      <w:r>
        <w:rPr>
          <w:rFonts w:ascii="Times New Roman" w:eastAsia="仿宋_GB2312" w:hAnsi="Times New Roman" w:cs="Times New Roman"/>
          <w:spacing w:val="-4"/>
          <w:szCs w:val="32"/>
        </w:rPr>
        <w:t>2</w:t>
      </w:r>
      <w:r>
        <w:rPr>
          <w:rFonts w:ascii="Times New Roman" w:eastAsia="仿宋_GB2312" w:hAnsi="Times New Roman" w:cs="Times New Roman"/>
          <w:spacing w:val="-4"/>
          <w:szCs w:val="32"/>
        </w:rPr>
        <w:t>年以上且经营状况良好的，</w:t>
      </w:r>
      <w:r>
        <w:rPr>
          <w:rFonts w:ascii="Times New Roman" w:eastAsia="仿宋_GB2312" w:hAnsi="Times New Roman" w:cs="Times New Roman"/>
          <w:spacing w:val="-4"/>
          <w:szCs w:val="32"/>
        </w:rPr>
        <w:t>给予</w:t>
      </w:r>
      <w:r>
        <w:rPr>
          <w:rFonts w:ascii="Times New Roman" w:eastAsia="仿宋_GB2312" w:hAnsi="Times New Roman" w:cs="Times New Roman"/>
          <w:spacing w:val="-4"/>
          <w:szCs w:val="32"/>
        </w:rPr>
        <w:t>运营</w:t>
      </w:r>
      <w:r>
        <w:rPr>
          <w:rFonts w:ascii="Times New Roman" w:eastAsia="仿宋_GB2312" w:hAnsi="Times New Roman" w:cs="Times New Roman"/>
          <w:spacing w:val="-4"/>
          <w:szCs w:val="32"/>
        </w:rPr>
        <w:t>补贴。</w:t>
      </w:r>
    </w:p>
    <w:p w:rsidR="00006245" w:rsidRDefault="00F951D0">
      <w:pPr>
        <w:spacing w:line="576" w:lineRule="exact"/>
        <w:ind w:firstLineChars="200" w:firstLine="664"/>
        <w:rPr>
          <w:rFonts w:ascii="Times New Roman" w:eastAsia="仿宋_GB2312" w:hAnsi="Times New Roman" w:cs="Times New Roman"/>
          <w:spacing w:val="-4"/>
          <w:szCs w:val="32"/>
        </w:rPr>
      </w:pPr>
      <w:r>
        <w:rPr>
          <w:rFonts w:ascii="Times New Roman" w:eastAsia="仿宋_GB2312" w:hAnsi="Times New Roman" w:cs="Times New Roman"/>
          <w:spacing w:val="-4"/>
          <w:szCs w:val="32"/>
        </w:rPr>
        <w:t>6.</w:t>
      </w:r>
      <w:r>
        <w:rPr>
          <w:rFonts w:ascii="Times New Roman" w:eastAsia="仿宋_GB2312" w:hAnsi="Times New Roman" w:cs="Times New Roman"/>
          <w:spacing w:val="-4"/>
          <w:szCs w:val="32"/>
        </w:rPr>
        <w:t>对首次被列为上级相关</w:t>
      </w:r>
      <w:proofErr w:type="gramStart"/>
      <w:r>
        <w:rPr>
          <w:rFonts w:ascii="Times New Roman" w:eastAsia="仿宋_GB2312" w:hAnsi="Times New Roman" w:cs="Times New Roman"/>
          <w:spacing w:val="-4"/>
          <w:szCs w:val="32"/>
        </w:rPr>
        <w:t>部门定报或</w:t>
      </w:r>
      <w:proofErr w:type="gramEnd"/>
      <w:r>
        <w:rPr>
          <w:rFonts w:ascii="Times New Roman" w:eastAsia="仿宋_GB2312" w:hAnsi="Times New Roman" w:cs="Times New Roman"/>
          <w:spacing w:val="-4"/>
          <w:szCs w:val="32"/>
        </w:rPr>
        <w:t>年报核算单位的企业，</w:t>
      </w:r>
      <w:r>
        <w:rPr>
          <w:rFonts w:ascii="Times New Roman" w:eastAsia="仿宋_GB2312" w:hAnsi="Times New Roman" w:cs="Times New Roman"/>
          <w:spacing w:val="-4"/>
          <w:szCs w:val="32"/>
        </w:rPr>
        <w:t>一次性给予不超过</w:t>
      </w:r>
      <w:r>
        <w:rPr>
          <w:rFonts w:ascii="Times New Roman" w:eastAsia="仿宋_GB2312" w:hAnsi="Times New Roman" w:cs="Times New Roman"/>
          <w:spacing w:val="-4"/>
          <w:szCs w:val="32"/>
        </w:rPr>
        <w:t>10</w:t>
      </w:r>
      <w:r>
        <w:rPr>
          <w:rFonts w:ascii="Times New Roman" w:eastAsia="仿宋_GB2312" w:hAnsi="Times New Roman" w:cs="Times New Roman"/>
          <w:spacing w:val="-4"/>
          <w:szCs w:val="32"/>
        </w:rPr>
        <w:t>万元奖励</w:t>
      </w:r>
      <w:r>
        <w:rPr>
          <w:rFonts w:ascii="Times New Roman" w:eastAsia="仿宋_GB2312" w:hAnsi="Times New Roman" w:cs="Times New Roman"/>
          <w:spacing w:val="-4"/>
          <w:szCs w:val="32"/>
        </w:rPr>
        <w:t>。</w:t>
      </w:r>
    </w:p>
    <w:p w:rsidR="00006245" w:rsidRDefault="00F951D0">
      <w:pPr>
        <w:spacing w:line="576" w:lineRule="exact"/>
        <w:ind w:firstLineChars="200" w:firstLine="664"/>
        <w:rPr>
          <w:rFonts w:ascii="Times New Roman" w:eastAsia="仿宋_GB2312" w:hAnsi="Times New Roman" w:cs="Times New Roman"/>
          <w:spacing w:val="-4"/>
          <w:szCs w:val="32"/>
        </w:rPr>
      </w:pPr>
      <w:r>
        <w:rPr>
          <w:rFonts w:ascii="Times New Roman" w:eastAsia="仿宋_GB2312" w:hAnsi="Times New Roman" w:cs="Times New Roman"/>
          <w:spacing w:val="-4"/>
          <w:szCs w:val="32"/>
        </w:rPr>
        <w:t>7.</w:t>
      </w:r>
      <w:r>
        <w:rPr>
          <w:rFonts w:ascii="Times New Roman" w:eastAsia="仿宋_GB2312" w:hAnsi="Times New Roman" w:cs="Times New Roman"/>
          <w:spacing w:val="-4"/>
          <w:szCs w:val="32"/>
        </w:rPr>
        <w:t>对竣工验收合格并投入使用</w:t>
      </w:r>
      <w:r>
        <w:rPr>
          <w:rFonts w:ascii="Times New Roman" w:eastAsia="仿宋_GB2312" w:hAnsi="Times New Roman" w:cs="Times New Roman"/>
          <w:spacing w:val="-4"/>
          <w:szCs w:val="32"/>
        </w:rPr>
        <w:t>10</w:t>
      </w:r>
      <w:r>
        <w:rPr>
          <w:rFonts w:ascii="Times New Roman" w:eastAsia="仿宋_GB2312" w:hAnsi="Times New Roman" w:cs="Times New Roman"/>
          <w:spacing w:val="-4"/>
          <w:szCs w:val="32"/>
        </w:rPr>
        <w:t>年以上的星级楼宇，对公共部位和共用设施设备升级改造，改造面积达</w:t>
      </w:r>
      <w:r>
        <w:rPr>
          <w:rFonts w:ascii="Times New Roman" w:eastAsia="仿宋_GB2312" w:hAnsi="Times New Roman" w:cs="Times New Roman"/>
          <w:spacing w:val="-4"/>
          <w:szCs w:val="32"/>
        </w:rPr>
        <w:t>3000</w:t>
      </w:r>
      <w:r>
        <w:rPr>
          <w:rFonts w:ascii="Times New Roman" w:eastAsia="仿宋_GB2312" w:hAnsi="Times New Roman" w:cs="Times New Roman"/>
          <w:spacing w:val="-4"/>
          <w:szCs w:val="32"/>
        </w:rPr>
        <w:t>平方米及以上，且符合产业提升发展方向的，按照改造工程项目审计决算金额最高不超过</w:t>
      </w:r>
      <w:r>
        <w:rPr>
          <w:rFonts w:ascii="Times New Roman" w:eastAsia="仿宋_GB2312" w:hAnsi="Times New Roman" w:cs="Times New Roman"/>
          <w:spacing w:val="-4"/>
          <w:szCs w:val="32"/>
        </w:rPr>
        <w:t>10%</w:t>
      </w:r>
      <w:r>
        <w:rPr>
          <w:rFonts w:ascii="Times New Roman" w:eastAsia="仿宋_GB2312" w:hAnsi="Times New Roman" w:cs="Times New Roman"/>
          <w:spacing w:val="-4"/>
          <w:szCs w:val="32"/>
        </w:rPr>
        <w:t>给予补贴，最高不超过</w:t>
      </w:r>
      <w:r>
        <w:rPr>
          <w:rFonts w:ascii="Times New Roman" w:eastAsia="仿宋_GB2312" w:hAnsi="Times New Roman" w:cs="Times New Roman"/>
          <w:spacing w:val="-4"/>
          <w:szCs w:val="32"/>
        </w:rPr>
        <w:t>30</w:t>
      </w:r>
      <w:r>
        <w:rPr>
          <w:rFonts w:ascii="Times New Roman" w:eastAsia="仿宋_GB2312" w:hAnsi="Times New Roman" w:cs="Times New Roman"/>
          <w:spacing w:val="-4"/>
          <w:szCs w:val="32"/>
        </w:rPr>
        <w:t>万元；对提升消防安全等级实施的消防升级改造项目，改造完成并通过验收后，</w:t>
      </w:r>
      <w:r>
        <w:rPr>
          <w:rFonts w:ascii="Times New Roman" w:eastAsia="仿宋_GB2312" w:hAnsi="Times New Roman" w:cs="Times New Roman"/>
          <w:spacing w:val="-4"/>
          <w:szCs w:val="32"/>
        </w:rPr>
        <w:t>“</w:t>
      </w:r>
      <w:r>
        <w:rPr>
          <w:rFonts w:ascii="Times New Roman" w:eastAsia="仿宋_GB2312" w:hAnsi="Times New Roman" w:cs="Times New Roman"/>
          <w:spacing w:val="-4"/>
          <w:szCs w:val="32"/>
        </w:rPr>
        <w:t>一事一议</w:t>
      </w:r>
      <w:r>
        <w:rPr>
          <w:rFonts w:ascii="Times New Roman" w:eastAsia="仿宋_GB2312" w:hAnsi="Times New Roman" w:cs="Times New Roman"/>
          <w:spacing w:val="-4"/>
          <w:szCs w:val="32"/>
        </w:rPr>
        <w:t>”</w:t>
      </w:r>
      <w:r>
        <w:rPr>
          <w:rFonts w:ascii="Times New Roman" w:eastAsia="仿宋_GB2312" w:hAnsi="Times New Roman" w:cs="Times New Roman"/>
          <w:spacing w:val="-4"/>
          <w:szCs w:val="32"/>
        </w:rPr>
        <w:t>给予补助。</w:t>
      </w:r>
    </w:p>
    <w:p w:rsidR="00006245" w:rsidRDefault="00F951D0">
      <w:pPr>
        <w:spacing w:line="576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8.</w:t>
      </w:r>
      <w:r>
        <w:rPr>
          <w:rFonts w:ascii="Times New Roman" w:eastAsia="仿宋_GB2312" w:hAnsi="Times New Roman" w:cs="Times New Roman"/>
          <w:kern w:val="0"/>
          <w:szCs w:val="32"/>
        </w:rPr>
        <w:t>支持楼宇引进高端专业人才，对符合条件的，按照市级相关人才政策给予奖励。</w:t>
      </w:r>
    </w:p>
    <w:p w:rsidR="00006245" w:rsidRDefault="00F951D0">
      <w:pPr>
        <w:spacing w:line="576" w:lineRule="exact"/>
        <w:ind w:firstLineChars="200" w:firstLine="68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对于同一奖励对象，符合多条奖励条款的，按照就高不重复进行奖励；本政策与我市其他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产业奖补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政策有重复交叉的，按照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从优、从高、不重复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原则执行。</w:t>
      </w:r>
    </w:p>
    <w:bookmarkEnd w:id="1"/>
    <w:p w:rsidR="00006245" w:rsidRDefault="00006245"/>
    <w:sectPr w:rsidR="00006245" w:rsidSect="00006245">
      <w:footerReference w:type="default" r:id="rId9"/>
      <w:pgSz w:w="11906" w:h="16838"/>
      <w:pgMar w:top="1701" w:right="1587" w:bottom="1701" w:left="1587" w:header="851" w:footer="1417" w:gutter="0"/>
      <w:cols w:space="0"/>
      <w:docGrid w:type="linesAndChars" w:linePitch="579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D0" w:rsidRDefault="00F951D0" w:rsidP="00006245">
      <w:r>
        <w:separator/>
      </w:r>
    </w:p>
  </w:endnote>
  <w:endnote w:type="continuationSeparator" w:id="0">
    <w:p w:rsidR="00F951D0" w:rsidRDefault="00F951D0" w:rsidP="00006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45" w:rsidRDefault="00006245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006245" w:rsidRDefault="00006245">
                <w:pPr>
                  <w:pStyle w:val="a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51D0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D5CF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45" w:rsidRDefault="00006245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006245" w:rsidRDefault="00006245">
                <w:pPr>
                  <w:pStyle w:val="a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51D0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D5CF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D0" w:rsidRDefault="00F951D0" w:rsidP="00006245">
      <w:r>
        <w:separator/>
      </w:r>
    </w:p>
  </w:footnote>
  <w:footnote w:type="continuationSeparator" w:id="0">
    <w:p w:rsidR="00F951D0" w:rsidRDefault="00F951D0" w:rsidP="00006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26557"/>
    <w:multiLevelType w:val="singleLevel"/>
    <w:tmpl w:val="ED826557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54041712"/>
    <w:rsid w:val="00006245"/>
    <w:rsid w:val="004D5CF8"/>
    <w:rsid w:val="00F951D0"/>
    <w:rsid w:val="19025818"/>
    <w:rsid w:val="310C4204"/>
    <w:rsid w:val="33C348FE"/>
    <w:rsid w:val="54041712"/>
    <w:rsid w:val="5C902F1F"/>
    <w:rsid w:val="6ADC0BFF"/>
    <w:rsid w:val="76C2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245"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qFormat/>
    <w:rsid w:val="00006245"/>
    <w:pPr>
      <w:keepNext/>
      <w:keepLines/>
      <w:spacing w:line="620" w:lineRule="exact"/>
      <w:jc w:val="center"/>
      <w:outlineLvl w:val="0"/>
    </w:pPr>
    <w:rPr>
      <w:rFonts w:ascii="方正小标宋_GBK" w:eastAsia="Arial Unicode MS" w:hAnsi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0">
    <w:name w:val="index 5"/>
    <w:basedOn w:val="a"/>
    <w:next w:val="a"/>
    <w:rsid w:val="00006245"/>
    <w:pPr>
      <w:spacing w:before="100" w:beforeAutospacing="1" w:after="100" w:afterAutospacing="1"/>
      <w:ind w:leftChars="800" w:left="800"/>
    </w:pPr>
  </w:style>
  <w:style w:type="paragraph" w:styleId="a3">
    <w:name w:val="Body Text"/>
    <w:basedOn w:val="a"/>
    <w:next w:val="a"/>
    <w:rsid w:val="00006245"/>
    <w:pPr>
      <w:spacing w:line="240" w:lineRule="atLeast"/>
      <w:jc w:val="center"/>
    </w:pPr>
    <w:rPr>
      <w:rFonts w:ascii="Times New Roman" w:eastAsia="宋体" w:hAnsi="Times New Roman" w:cs="Times New Roman"/>
      <w:sz w:val="24"/>
      <w:lang w:eastAsia="en-US"/>
    </w:rPr>
  </w:style>
  <w:style w:type="paragraph" w:styleId="a4">
    <w:name w:val="Body Text Indent"/>
    <w:basedOn w:val="a"/>
    <w:link w:val="Char"/>
    <w:rsid w:val="00006245"/>
    <w:pPr>
      <w:spacing w:after="120"/>
      <w:ind w:leftChars="200" w:left="420"/>
    </w:pPr>
  </w:style>
  <w:style w:type="paragraph" w:styleId="a5">
    <w:name w:val="Plain Text"/>
    <w:basedOn w:val="a"/>
    <w:next w:val="5"/>
    <w:rsid w:val="00006245"/>
    <w:rPr>
      <w:rFonts w:ascii="宋体" w:eastAsia="宋体" w:hAnsi="Courier New"/>
      <w:szCs w:val="20"/>
    </w:rPr>
  </w:style>
  <w:style w:type="paragraph" w:styleId="5">
    <w:name w:val="List Number 5"/>
    <w:basedOn w:val="a"/>
    <w:rsid w:val="00006245"/>
    <w:pPr>
      <w:numPr>
        <w:numId w:val="1"/>
      </w:numPr>
    </w:pPr>
  </w:style>
  <w:style w:type="paragraph" w:styleId="a6">
    <w:name w:val="Date"/>
    <w:basedOn w:val="a"/>
    <w:next w:val="a"/>
    <w:link w:val="Char0"/>
    <w:rsid w:val="00006245"/>
    <w:pPr>
      <w:ind w:leftChars="2500" w:left="100"/>
    </w:pPr>
  </w:style>
  <w:style w:type="paragraph" w:styleId="a7">
    <w:name w:val="footer"/>
    <w:basedOn w:val="a"/>
    <w:link w:val="Char1"/>
    <w:qFormat/>
    <w:rsid w:val="00006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006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rsid w:val="00006245"/>
    <w:pPr>
      <w:ind w:leftChars="200" w:left="420"/>
    </w:pPr>
  </w:style>
  <w:style w:type="paragraph" w:styleId="20">
    <w:name w:val="Body Text First Indent 2"/>
    <w:basedOn w:val="a4"/>
    <w:next w:val="a"/>
    <w:link w:val="2Char"/>
    <w:rsid w:val="00006245"/>
    <w:pPr>
      <w:spacing w:after="0" w:line="480" w:lineRule="atLeast"/>
      <w:ind w:leftChars="0" w:left="0" w:firstLineChars="200" w:firstLine="420"/>
    </w:pPr>
    <w:rPr>
      <w:rFonts w:ascii="Times New Roman" w:eastAsia="宋体" w:hAnsi="Times New Roman" w:cs="Times New Roman"/>
      <w:sz w:val="30"/>
      <w:szCs w:val="32"/>
    </w:rPr>
  </w:style>
  <w:style w:type="character" w:styleId="a9">
    <w:name w:val="page number"/>
    <w:basedOn w:val="a0"/>
    <w:qFormat/>
    <w:rsid w:val="00006245"/>
    <w:rPr>
      <w:rFonts w:asciiTheme="minorHAnsi" w:eastAsiaTheme="minorEastAsia" w:hAnsiTheme="minorHAnsi" w:cstheme="minorBidi"/>
    </w:rPr>
  </w:style>
  <w:style w:type="paragraph" w:customStyle="1" w:styleId="Style2">
    <w:name w:val="_Style 2"/>
    <w:basedOn w:val="a"/>
    <w:next w:val="50"/>
    <w:qFormat/>
    <w:rsid w:val="00006245"/>
    <w:pPr>
      <w:spacing w:line="351" w:lineRule="atLeast"/>
      <w:ind w:firstLine="623"/>
    </w:pPr>
    <w:rPr>
      <w:rFonts w:ascii="Times New Roman" w:eastAsia="仿宋_GB2312" w:hAnsi="Times New Roman"/>
      <w:color w:val="000000"/>
      <w:sz w:val="31"/>
      <w:szCs w:val="31"/>
    </w:rPr>
  </w:style>
  <w:style w:type="character" w:customStyle="1" w:styleId="Char2">
    <w:name w:val="页眉 Char"/>
    <w:basedOn w:val="a0"/>
    <w:link w:val="a8"/>
    <w:uiPriority w:val="99"/>
    <w:semiHidden/>
    <w:qFormat/>
    <w:rsid w:val="0000624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00624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uiPriority w:val="99"/>
    <w:semiHidden/>
    <w:qFormat/>
    <w:rsid w:val="00006245"/>
    <w:rPr>
      <w:rFonts w:ascii="Times New Roman" w:eastAsia="宋体" w:hAnsi="Times New Roman" w:cs="Times New Roman"/>
    </w:rPr>
  </w:style>
  <w:style w:type="character" w:customStyle="1" w:styleId="Char">
    <w:name w:val="正文文本缩进 Char"/>
    <w:basedOn w:val="a0"/>
    <w:link w:val="a4"/>
    <w:uiPriority w:val="99"/>
    <w:semiHidden/>
    <w:qFormat/>
    <w:rsid w:val="00006245"/>
    <w:rPr>
      <w:rFonts w:ascii="Times New Roman" w:eastAsia="宋体" w:hAnsi="Times New Roman" w:cs="Times New Roman"/>
    </w:rPr>
  </w:style>
  <w:style w:type="character" w:customStyle="1" w:styleId="2Char">
    <w:name w:val="正文首行缩进 2 Char"/>
    <w:basedOn w:val="Char"/>
    <w:link w:val="20"/>
    <w:qFormat/>
    <w:rsid w:val="00006245"/>
    <w:rPr>
      <w:rFonts w:ascii="Times New Roman" w:eastAsia="宋体" w:hAnsi="Times New Roman" w:cs="Times New Roman"/>
      <w:sz w:val="30"/>
      <w:szCs w:val="32"/>
    </w:rPr>
  </w:style>
  <w:style w:type="paragraph" w:customStyle="1" w:styleId="0">
    <w:name w:val="正文0"/>
    <w:basedOn w:val="a"/>
    <w:qFormat/>
    <w:rsid w:val="00006245"/>
    <w:pPr>
      <w:adjustRightInd w:val="0"/>
      <w:snapToGrid w:val="0"/>
      <w:spacing w:line="560" w:lineRule="exact"/>
      <w:ind w:firstLineChars="200" w:firstLine="960"/>
    </w:pPr>
    <w:rPr>
      <w:rFonts w:ascii="仿宋_GB2312" w:eastAsia="仿宋_GB2312" w:hAnsi="仿宋_GB2312" w:cs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643</Words>
  <Characters>3670</Characters>
  <Application>Microsoft Office Word</Application>
  <DocSecurity>0</DocSecurity>
  <Lines>30</Lines>
  <Paragraphs>8</Paragraphs>
  <ScaleCrop>false</ScaleCrop>
  <Company>微软中国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蒋超</dc:creator>
  <cp:lastModifiedBy>微软用户</cp:lastModifiedBy>
  <cp:revision>2</cp:revision>
  <dcterms:created xsi:type="dcterms:W3CDTF">2022-06-14T05:26:00Z</dcterms:created>
  <dcterms:modified xsi:type="dcterms:W3CDTF">2025-11-10T06:29:00Z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F58A19B2263D44CB870539A295F05A12</vt:lpwstr>
  </property>
  <property fmtid="{D5CDD505-2E9C-101B-9397-08002B2CF9AE}" pid="4" name="KSOTemplateDocerSaveRecord">
    <vt:lpwstr>eyJoZGlkIjoiZGMyZDAyNzVmY2E0NDA4OTUyODQ0MDkzYjZmNGE1ZTkiLCJ1c2VySWQiOiIyNTU0NTI4OTQifQ==</vt:lpwstr>
  </property>
</Properties>
</file>