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FC507">
      <w:pPr>
        <w:pStyle w:val="4"/>
        <w:spacing w:line="440" w:lineRule="exact"/>
        <w:rPr>
          <w:rStyle w:val="5"/>
          <w:rFonts w:hint="eastAsia" w:ascii="宋体" w:hAnsi="宋体" w:eastAsia="宋体" w:cs="宋体"/>
          <w:color w:val="auto"/>
          <w:highlight w:val="none"/>
        </w:rPr>
      </w:pPr>
      <w:r>
        <w:rPr>
          <w:rStyle w:val="5"/>
          <w:rFonts w:hint="eastAsia" w:ascii="宋体" w:hAnsi="宋体" w:eastAsia="宋体" w:cs="宋体"/>
          <w:color w:val="auto"/>
          <w:kern w:val="2"/>
          <w:sz w:val="28"/>
          <w:szCs w:val="28"/>
          <w:highlight w:val="none"/>
        </w:rPr>
        <w:t>附件：评标细则</w:t>
      </w:r>
    </w:p>
    <w:p w14:paraId="35572F65">
      <w:pPr>
        <w:pStyle w:val="6"/>
        <w:spacing w:line="560" w:lineRule="exact"/>
        <w:ind w:firstLine="560" w:firstLineChars="200"/>
        <w:rPr>
          <w:rStyle w:val="8"/>
          <w:rFonts w:hint="eastAsia" w:ascii="宋体" w:hAnsi="宋体" w:eastAsia="宋体" w:cs="宋体"/>
          <w:b w:val="0"/>
          <w:color w:val="auto"/>
          <w:sz w:val="28"/>
          <w:szCs w:val="28"/>
        </w:rPr>
      </w:pPr>
      <w:r>
        <w:rPr>
          <w:rStyle w:val="8"/>
          <w:rFonts w:hint="eastAsia" w:ascii="宋体" w:hAnsi="宋体" w:eastAsia="宋体" w:cs="宋体"/>
          <w:b w:val="0"/>
          <w:color w:val="auto"/>
          <w:sz w:val="28"/>
          <w:szCs w:val="28"/>
        </w:rPr>
        <w:t>本次评标采用“评标入围法+合理低价法”评标办法，总分100分，由评标委员会按以下规则计算汇总评审结果，按照评标总分从高到低的顺序向招标人推荐1至3名中标候选人，并标明排序。如评标总分相同，以评标价低的优先；评标价也相等的，由招标人以抽签方式确定排序。招标文件“第三章 评标办法”与本细则不一致的，以本细则为准。具体如下：</w:t>
      </w:r>
    </w:p>
    <w:p w14:paraId="750E0AF0">
      <w:pPr>
        <w:pStyle w:val="6"/>
        <w:spacing w:line="560" w:lineRule="exact"/>
        <w:rPr>
          <w:rFonts w:hint="eastAsia" w:ascii="宋体" w:hAnsi="宋体" w:eastAsia="宋体" w:cs="宋体"/>
          <w:b w:val="0"/>
          <w:color w:val="auto"/>
        </w:rPr>
      </w:pPr>
      <w:r>
        <w:rPr>
          <w:rFonts w:hint="eastAsia" w:ascii="宋体" w:hAnsi="宋体" w:eastAsia="宋体" w:cs="宋体"/>
          <w:b w:val="0"/>
          <w:color w:val="auto"/>
          <w:sz w:val="28"/>
          <w:szCs w:val="28"/>
        </w:rPr>
        <w:t>一、评标入围办法</w:t>
      </w:r>
    </w:p>
    <w:p w14:paraId="792EA253">
      <w:pPr>
        <w:pStyle w:val="6"/>
        <w:spacing w:line="560" w:lineRule="exact"/>
        <w:ind w:firstLine="560" w:firstLineChars="200"/>
        <w:rPr>
          <w:rStyle w:val="8"/>
          <w:rFonts w:hint="eastAsia" w:ascii="宋体" w:hAnsi="宋体" w:eastAsia="宋体" w:cs="宋体"/>
          <w:color w:val="auto"/>
        </w:rPr>
      </w:pPr>
      <w:r>
        <w:rPr>
          <w:rStyle w:val="8"/>
          <w:rFonts w:hint="eastAsia" w:ascii="宋体" w:hAnsi="宋体" w:eastAsia="宋体" w:cs="宋体"/>
          <w:b w:val="0"/>
          <w:bCs w:val="0"/>
          <w:color w:val="auto"/>
          <w:sz w:val="28"/>
          <w:szCs w:val="28"/>
        </w:rPr>
        <w:t>当递交投标文件的投标人数量不超过30 家时，采用“全部入围法”；当递交投标文件的投标人数量超过30家时，采用“去高去低入围法”。具体入围方法如下：</w:t>
      </w:r>
    </w:p>
    <w:p w14:paraId="3956CFCC">
      <w:pPr>
        <w:pStyle w:val="9"/>
        <w:spacing w:line="560" w:lineRule="exact"/>
        <w:ind w:firstLine="548" w:firstLineChars="196"/>
        <w:rPr>
          <w:rFonts w:hint="eastAsia" w:ascii="宋体" w:hAnsi="宋体" w:cs="宋体"/>
          <w:color w:val="auto"/>
          <w:kern w:val="2"/>
          <w:sz w:val="21"/>
        </w:rPr>
      </w:pPr>
      <w:r>
        <w:rPr>
          <w:rFonts w:hint="eastAsia" w:ascii="宋体" w:hAnsi="宋体" w:cs="宋体"/>
          <w:color w:val="auto"/>
          <w:kern w:val="2"/>
          <w:sz w:val="28"/>
          <w:szCs w:val="28"/>
        </w:rPr>
        <w:t>1、全部入围法</w:t>
      </w:r>
    </w:p>
    <w:p w14:paraId="351DB69C">
      <w:pPr>
        <w:pStyle w:val="9"/>
        <w:spacing w:line="560" w:lineRule="exact"/>
        <w:ind w:firstLine="645"/>
        <w:rPr>
          <w:rFonts w:hint="eastAsia" w:ascii="宋体" w:hAnsi="宋体" w:cs="宋体"/>
          <w:color w:val="auto"/>
          <w:kern w:val="2"/>
          <w:sz w:val="28"/>
          <w:szCs w:val="28"/>
        </w:rPr>
      </w:pPr>
      <w:r>
        <w:rPr>
          <w:rFonts w:hint="eastAsia" w:ascii="宋体" w:hAnsi="宋体" w:cs="宋体"/>
          <w:color w:val="auto"/>
          <w:kern w:val="2"/>
          <w:sz w:val="28"/>
          <w:szCs w:val="28"/>
        </w:rPr>
        <w:t>所有</w:t>
      </w:r>
      <w:r>
        <w:rPr>
          <w:rStyle w:val="8"/>
          <w:rFonts w:hint="eastAsia" w:ascii="宋体" w:hAnsi="宋体" w:eastAsia="宋体" w:cs="宋体"/>
          <w:bCs/>
          <w:color w:val="auto"/>
          <w:kern w:val="2"/>
          <w:sz w:val="28"/>
          <w:szCs w:val="28"/>
        </w:rPr>
        <w:t>递交投标文件</w:t>
      </w:r>
      <w:r>
        <w:rPr>
          <w:rFonts w:hint="eastAsia" w:ascii="宋体" w:hAnsi="宋体" w:cs="宋体"/>
          <w:color w:val="auto"/>
          <w:kern w:val="2"/>
          <w:sz w:val="28"/>
          <w:szCs w:val="28"/>
        </w:rPr>
        <w:t>的投标人全部进入后续开评标程序。</w:t>
      </w:r>
    </w:p>
    <w:p w14:paraId="4235A72C">
      <w:pPr>
        <w:pStyle w:val="9"/>
        <w:spacing w:line="560" w:lineRule="exact"/>
        <w:ind w:firstLine="587"/>
        <w:rPr>
          <w:rFonts w:hint="eastAsia" w:ascii="宋体" w:hAnsi="宋体" w:cs="宋体"/>
          <w:color w:val="auto"/>
          <w:kern w:val="2"/>
          <w:sz w:val="28"/>
          <w:szCs w:val="28"/>
        </w:rPr>
      </w:pPr>
      <w:r>
        <w:rPr>
          <w:rFonts w:hint="eastAsia" w:ascii="宋体" w:hAnsi="宋体" w:cs="宋体"/>
          <w:color w:val="auto"/>
          <w:kern w:val="2"/>
          <w:sz w:val="28"/>
          <w:szCs w:val="28"/>
          <w:lang w:val="en-US" w:eastAsia="zh-CN"/>
        </w:rPr>
        <w:t>2</w:t>
      </w:r>
      <w:r>
        <w:rPr>
          <w:rFonts w:hint="eastAsia" w:ascii="宋体" w:hAnsi="宋体" w:cs="宋体"/>
          <w:color w:val="auto"/>
          <w:kern w:val="2"/>
          <w:sz w:val="28"/>
          <w:szCs w:val="28"/>
        </w:rPr>
        <w:t>、去高去低入围法</w:t>
      </w:r>
    </w:p>
    <w:p w14:paraId="3FD40473">
      <w:pPr>
        <w:pStyle w:val="10"/>
        <w:spacing w:line="560" w:lineRule="exact"/>
        <w:ind w:firstLine="560" w:firstLineChars="200"/>
        <w:rPr>
          <w:rStyle w:val="8"/>
          <w:rFonts w:hint="eastAsia" w:ascii="宋体" w:hAnsi="宋体" w:eastAsia="宋体" w:cs="宋体"/>
          <w:color w:val="auto"/>
          <w:sz w:val="28"/>
          <w:szCs w:val="28"/>
        </w:rPr>
      </w:pPr>
      <w:r>
        <w:rPr>
          <w:rStyle w:val="8"/>
          <w:rFonts w:hint="eastAsia" w:ascii="宋体" w:hAnsi="宋体" w:eastAsia="宋体" w:cs="宋体"/>
          <w:color w:val="auto"/>
          <w:sz w:val="28"/>
          <w:szCs w:val="28"/>
        </w:rPr>
        <w:t>（1）开标结束后，评标委员会先按投标报价由高到低去除投标人数量×G1（G1值为10%、15%、20%、25%、30%）最高投标报价的投标人和由低到高去除投标人数量×G2（G2值为10%、15%、20%）最低投标报价的投标人（去高、去低的数量四舍五入后取整，末位报价相同的均去除），G1和G2在开标时抽取确定的入围方法为去高去低入围法后，即由招标人代表随机抽取确定。投标报价是指开标时公布的报价，投标人数量是指递交评标委员会评审的投标人数量。</w:t>
      </w:r>
    </w:p>
    <w:p w14:paraId="624DAD27">
      <w:pPr>
        <w:pStyle w:val="10"/>
        <w:spacing w:line="560" w:lineRule="exact"/>
        <w:ind w:firstLine="560" w:firstLineChars="200"/>
        <w:rPr>
          <w:rStyle w:val="8"/>
          <w:rFonts w:hint="eastAsia" w:ascii="宋体" w:hAnsi="宋体" w:eastAsia="宋体" w:cs="宋体"/>
          <w:color w:val="auto"/>
          <w:sz w:val="28"/>
          <w:szCs w:val="28"/>
        </w:rPr>
      </w:pPr>
      <w:r>
        <w:rPr>
          <w:rStyle w:val="8"/>
          <w:rFonts w:hint="eastAsia" w:ascii="宋体" w:hAnsi="宋体" w:eastAsia="宋体" w:cs="宋体"/>
          <w:color w:val="auto"/>
          <w:sz w:val="28"/>
          <w:szCs w:val="28"/>
        </w:rPr>
        <w:t>（2）去除的投标人不进入后续评标程序，评标委员会对入围投标人按照招标文件规定的评标方法进行评审。</w:t>
      </w:r>
    </w:p>
    <w:p w14:paraId="030C6907">
      <w:pPr>
        <w:pStyle w:val="10"/>
        <w:spacing w:line="560" w:lineRule="exact"/>
        <w:ind w:firstLine="560" w:firstLineChars="200"/>
        <w:rPr>
          <w:rStyle w:val="8"/>
          <w:rFonts w:hint="eastAsia" w:ascii="宋体" w:hAnsi="宋体" w:eastAsia="宋体" w:cs="宋体"/>
          <w:color w:val="auto"/>
          <w:sz w:val="28"/>
          <w:szCs w:val="28"/>
        </w:rPr>
      </w:pPr>
      <w:r>
        <w:rPr>
          <w:rStyle w:val="8"/>
          <w:rFonts w:hint="eastAsia" w:ascii="宋体" w:hAnsi="宋体" w:eastAsia="宋体" w:cs="宋体"/>
          <w:color w:val="auto"/>
          <w:sz w:val="28"/>
          <w:szCs w:val="28"/>
        </w:rPr>
        <w:t>（3）评标入围结果不因招投标当事人质疑、投诉、复议以及其他任何情形而改变（计算错误应作调整）。</w:t>
      </w:r>
    </w:p>
    <w:p w14:paraId="3DA2BF34">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二、投标报价得分（100分）</w:t>
      </w:r>
    </w:p>
    <w:p w14:paraId="0E84304A">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1、按以下方法确定评标基准价：</w:t>
      </w:r>
    </w:p>
    <w:p w14:paraId="01E411F1">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评标基准价=(A×35%＋B×45%＋C×20%)×K</w:t>
      </w:r>
    </w:p>
    <w:p w14:paraId="6DA03689">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A＝最高投标限价×（100%-下浮率Δ）。</w:t>
      </w:r>
    </w:p>
    <w:p w14:paraId="06AB5BAC">
      <w:pPr>
        <w:pStyle w:val="10"/>
        <w:spacing w:line="560" w:lineRule="exact"/>
        <w:ind w:firstLine="560" w:firstLineChars="200"/>
        <w:rPr>
          <w:rStyle w:val="8"/>
          <w:rFonts w:hint="default" w:ascii="宋体" w:hAnsi="宋体" w:eastAsia="宋体" w:cs="宋体"/>
          <w:color w:val="auto"/>
          <w:sz w:val="28"/>
          <w:szCs w:val="28"/>
          <w:highlight w:val="none"/>
          <w:lang w:val="en-US" w:eastAsia="zh-CN"/>
        </w:rPr>
      </w:pPr>
      <w:r>
        <w:rPr>
          <w:rStyle w:val="8"/>
          <w:rFonts w:hint="eastAsia" w:ascii="宋体" w:hAnsi="宋体" w:eastAsia="宋体" w:cs="宋体"/>
          <w:color w:val="auto"/>
          <w:sz w:val="28"/>
          <w:szCs w:val="28"/>
          <w:highlight w:val="none"/>
          <w:lang w:val="en-US" w:eastAsia="zh-CN"/>
        </w:rPr>
        <w:t>下浮率Δ的抽取范围为：9%、10%、11%。</w:t>
      </w:r>
    </w:p>
    <w:p w14:paraId="1AFF2A39">
      <w:pPr>
        <w:pStyle w:val="10"/>
        <w:spacing w:line="560" w:lineRule="exact"/>
        <w:ind w:firstLine="560" w:firstLineChars="200"/>
        <w:rPr>
          <w:rStyle w:val="8"/>
          <w:rFonts w:hint="eastAsia" w:ascii="宋体" w:hAnsi="宋体" w:eastAsia="宋体" w:cs="宋体"/>
          <w:color w:val="auto"/>
          <w:sz w:val="28"/>
          <w:szCs w:val="28"/>
          <w:highlight w:val="none"/>
          <w:lang w:val="en-US" w:eastAsia="zh-CN"/>
        </w:rPr>
      </w:pPr>
      <w:r>
        <w:rPr>
          <w:rStyle w:val="8"/>
          <w:rFonts w:hint="eastAsia" w:ascii="宋体" w:hAnsi="宋体" w:eastAsia="宋体" w:cs="宋体"/>
          <w:color w:val="auto"/>
          <w:sz w:val="28"/>
          <w:szCs w:val="28"/>
          <w:highlight w:val="none"/>
          <w:lang w:val="en-US" w:eastAsia="zh-CN"/>
        </w:rPr>
        <w:t xml:space="preserve">B＝在规定范围内的本次投标除C值外的任意一个评标价。 </w:t>
      </w:r>
    </w:p>
    <w:p w14:paraId="0E6ADB40">
      <w:pPr>
        <w:pStyle w:val="10"/>
        <w:spacing w:line="560" w:lineRule="exact"/>
        <w:ind w:firstLine="560" w:firstLineChars="200"/>
        <w:rPr>
          <w:rStyle w:val="8"/>
          <w:rFonts w:hint="eastAsia" w:ascii="宋体" w:hAnsi="宋体" w:eastAsia="宋体" w:cs="宋体"/>
          <w:color w:val="auto"/>
          <w:sz w:val="28"/>
          <w:szCs w:val="28"/>
          <w:highlight w:val="none"/>
          <w:lang w:val="en-US" w:eastAsia="zh-CN"/>
        </w:rPr>
      </w:pPr>
      <w:r>
        <w:rPr>
          <w:rStyle w:val="8"/>
          <w:rFonts w:hint="eastAsia" w:ascii="宋体" w:hAnsi="宋体" w:eastAsia="宋体" w:cs="宋体"/>
          <w:color w:val="auto"/>
          <w:sz w:val="28"/>
          <w:szCs w:val="28"/>
          <w:highlight w:val="none"/>
          <w:lang w:val="en-US" w:eastAsia="zh-CN"/>
        </w:rPr>
        <w:t xml:space="preserve">C＝在规定范围内的本次开标最低评标价。 </w:t>
      </w:r>
    </w:p>
    <w:p w14:paraId="611DD89B">
      <w:pPr>
        <w:pStyle w:val="10"/>
        <w:spacing w:line="560" w:lineRule="exact"/>
        <w:ind w:firstLine="560" w:firstLineChars="200"/>
        <w:rPr>
          <w:rStyle w:val="8"/>
          <w:rFonts w:hint="eastAsia" w:ascii="宋体" w:hAnsi="宋体" w:eastAsia="宋体" w:cs="宋体"/>
          <w:color w:val="auto"/>
          <w:sz w:val="28"/>
          <w:szCs w:val="28"/>
          <w:highlight w:val="none"/>
          <w:lang w:val="en-US" w:eastAsia="zh-CN"/>
        </w:rPr>
      </w:pPr>
      <w:r>
        <w:rPr>
          <w:rStyle w:val="8"/>
          <w:rFonts w:hint="eastAsia" w:ascii="宋体" w:hAnsi="宋体" w:eastAsia="宋体" w:cs="宋体"/>
          <w:color w:val="auto"/>
          <w:sz w:val="28"/>
          <w:szCs w:val="28"/>
          <w:highlight w:val="none"/>
          <w:lang w:val="en-US" w:eastAsia="zh-CN"/>
        </w:rPr>
        <w:t>Ｋ为下浮系数，取值范围为：</w:t>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%、97%、98%。</w:t>
      </w:r>
    </w:p>
    <w:p w14:paraId="0898EE87">
      <w:pPr>
        <w:pStyle w:val="10"/>
        <w:spacing w:line="560" w:lineRule="exact"/>
        <w:ind w:firstLine="560" w:firstLineChars="200"/>
        <w:rPr>
          <w:rStyle w:val="8"/>
          <w:rFonts w:hint="eastAsia" w:ascii="宋体" w:hAnsi="宋体" w:eastAsia="宋体" w:cs="宋体"/>
          <w:color w:val="auto"/>
          <w:sz w:val="28"/>
          <w:szCs w:val="28"/>
          <w:highlight w:val="none"/>
          <w:lang w:val="en-US" w:eastAsia="zh-CN"/>
        </w:rPr>
      </w:pPr>
      <w:r>
        <w:rPr>
          <w:rStyle w:val="8"/>
          <w:rFonts w:hint="eastAsia" w:ascii="宋体" w:hAnsi="宋体" w:eastAsia="宋体" w:cs="宋体"/>
          <w:color w:val="auto"/>
          <w:sz w:val="28"/>
          <w:szCs w:val="28"/>
          <w:highlight w:val="none"/>
          <w:lang w:val="en-US" w:eastAsia="zh-CN"/>
        </w:rPr>
        <w:t>规定范围内是指：</w:t>
      </w:r>
    </w:p>
    <w:p w14:paraId="6884FBF0">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(1)评标价≤最高投标限价×（100%-下浮率Δ）。</w:t>
      </w:r>
    </w:p>
    <w:p w14:paraId="583D9E27">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(2)评标价≥所有通过第⑴步评审合格的投标人评标价算术平均值×90%。</w:t>
      </w:r>
    </w:p>
    <w:p w14:paraId="091B7E86">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(3)特殊情况处理：规定范围内的评标价只有一家时，B值和C值均取该评标价；没有符合规定范围内的评标价时，本工程流标。</w:t>
      </w:r>
    </w:p>
    <w:p w14:paraId="0C3CDE26">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2、有效投标文件的评标价等于评标基准价的得满分（100分），评标价相对评标基准价每高1%扣0.9分，每低1%扣0.6分，不足1%的，按照插入法计算得分，分值按四舍五入取二位小数。</w:t>
      </w:r>
    </w:p>
    <w:p w14:paraId="46727300">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评标细则说明：</w:t>
      </w:r>
    </w:p>
    <w:p w14:paraId="512B99B2">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1、有效投标文件是指评标委员会初步评审合格的投标文件；评标价指经澄清、补正和修正算术错误的投标报价。</w:t>
      </w:r>
    </w:p>
    <w:p w14:paraId="5217DBC0">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2、不参与评标基准价计算的有效投标文件均不影响其评标及推荐为中标候选人。</w:t>
      </w:r>
    </w:p>
    <w:p w14:paraId="099B4ECB">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3、评标基准价和相关数值及评标基准价计算方法(如有,先抽计算方法)的抽取在招标人(招标代理机构)完成评标准备工作,评标委员会完成初步评审,并经评标委员会所</w:t>
      </w:r>
      <w:bookmarkStart w:id="0" w:name="_GoBack"/>
      <w:bookmarkEnd w:id="0"/>
      <w:r>
        <w:rPr>
          <w:rStyle w:val="8"/>
          <w:rFonts w:hint="eastAsia" w:ascii="宋体" w:hAnsi="宋体" w:eastAsia="宋体" w:cs="宋体"/>
          <w:color w:val="auto"/>
          <w:sz w:val="28"/>
          <w:szCs w:val="28"/>
          <w:lang w:val="en-US" w:eastAsia="zh-CN"/>
        </w:rPr>
        <w:t>有评委签字认可确定有效投标文件后在开标现场随机抽取，抽取人为招标人代表,抽取范围为经所有评委签字认可确定的有效投标文件。初步评审不合格的投标文件不参与评标基准价的计算。(相关数值只抽取一次,不因后续评审、质疑、投诉、复议及其他任何情形而改变,抽值时数值录入错误除外)</w:t>
      </w:r>
    </w:p>
    <w:p w14:paraId="11875C6B">
      <w:pPr>
        <w:pStyle w:val="10"/>
        <w:spacing w:line="560" w:lineRule="exact"/>
        <w:ind w:firstLine="560" w:firstLineChars="200"/>
        <w:rPr>
          <w:rStyle w:val="8"/>
          <w:rFonts w:hint="eastAsia" w:ascii="宋体" w:hAnsi="宋体" w:eastAsia="宋体" w:cs="宋体"/>
          <w:color w:val="auto"/>
          <w:sz w:val="28"/>
          <w:szCs w:val="28"/>
          <w:lang w:val="en-US" w:eastAsia="zh-CN"/>
        </w:rPr>
      </w:pPr>
      <w:r>
        <w:rPr>
          <w:rStyle w:val="8"/>
          <w:rFonts w:hint="eastAsia" w:ascii="宋体" w:hAnsi="宋体" w:eastAsia="宋体" w:cs="宋体"/>
          <w:color w:val="auto"/>
          <w:sz w:val="28"/>
          <w:szCs w:val="28"/>
          <w:lang w:val="en-US" w:eastAsia="zh-CN"/>
        </w:rPr>
        <w:t>4、相关数值抽取后,在抽取现场确定评标基准价,评标基准价确定后不因招投标当事人质疑、投诉、复议以及其他任何情形而改变(计算错误应作调整)。</w:t>
      </w:r>
    </w:p>
    <w:p w14:paraId="382838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332EB"/>
    <w:rsid w:val="567D034C"/>
    <w:rsid w:val="5BE35EFF"/>
    <w:rsid w:val="6D355F76"/>
    <w:rsid w:val="77EA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0_0"/>
    <w:qFormat/>
    <w:uiPriority w:val="0"/>
    <w:pPr>
      <w:widowControl w:val="0"/>
      <w:jc w:val="both"/>
    </w:pPr>
    <w:rPr>
      <w:rFonts w:ascii="Calibri" w:hAnsi="Calibri" w:eastAsia="宋体" w:cs="Times New Roman"/>
      <w:lang w:eastAsia="en-US"/>
    </w:rPr>
  </w:style>
  <w:style w:type="character" w:customStyle="1" w:styleId="5">
    <w:name w:val="17"/>
    <w:basedOn w:val="3"/>
    <w:qFormat/>
    <w:uiPriority w:val="0"/>
    <w:rPr>
      <w:rFonts w:ascii="Times New Roman" w:hAnsi="Times New Roman" w:eastAsia="Times New Roman" w:cs="Times New Roman"/>
    </w:rPr>
  </w:style>
  <w:style w:type="paragraph" w:customStyle="1" w:styleId="6">
    <w:name w:val="p18"/>
    <w:basedOn w:val="7"/>
    <w:qFormat/>
    <w:uiPriority w:val="0"/>
    <w:pPr>
      <w:widowControl/>
      <w:spacing w:line="360" w:lineRule="auto"/>
    </w:pPr>
    <w:rPr>
      <w:rFonts w:eastAsia="微软雅黑"/>
      <w:b/>
      <w:bCs/>
      <w:sz w:val="24"/>
    </w:rPr>
  </w:style>
  <w:style w:type="paragraph" w:customStyle="1" w:styleId="7">
    <w:name w:val="Normal_4"/>
    <w:qFormat/>
    <w:uiPriority w:val="0"/>
    <w:pPr>
      <w:widowControl w:val="0"/>
      <w:jc w:val="both"/>
    </w:pPr>
    <w:rPr>
      <w:rFonts w:ascii="Calibri" w:hAnsi="Calibri" w:eastAsia="宋体" w:cs="Times New Roman"/>
      <w:lang w:eastAsia="en-US"/>
    </w:rPr>
  </w:style>
  <w:style w:type="character" w:customStyle="1" w:styleId="8">
    <w:name w:val="16"/>
    <w:basedOn w:val="3"/>
    <w:qFormat/>
    <w:uiPriority w:val="0"/>
    <w:rPr>
      <w:rFonts w:ascii="Times New Roman" w:hAnsi="Times New Roman" w:eastAsia="Times New Roman" w:cs="Times New Roman"/>
    </w:rPr>
  </w:style>
  <w:style w:type="paragraph" w:customStyle="1" w:styleId="9">
    <w:name w:val="Normal_3"/>
    <w:qFormat/>
    <w:uiPriority w:val="0"/>
    <w:pPr>
      <w:widowControl w:val="0"/>
      <w:jc w:val="both"/>
    </w:pPr>
    <w:rPr>
      <w:rFonts w:ascii="Calibri" w:hAnsi="Calibri" w:eastAsia="宋体" w:cs="Times New Roman"/>
      <w:lang w:eastAsia="en-US"/>
    </w:rPr>
  </w:style>
  <w:style w:type="paragraph" w:customStyle="1" w:styleId="10">
    <w:name w:val="正文1"/>
    <w:qFormat/>
    <w:uiPriority w:val="0"/>
    <w:pPr>
      <w:widowControl w:val="0"/>
      <w:jc w:val="both"/>
    </w:pPr>
    <w:rPr>
      <w:rFonts w:ascii="Calibri" w:hAnsi="Calibri" w:eastAsia="宋体" w:cs="Times New Roman"/>
      <w:kern w:val="2"/>
      <w:sz w:val="21"/>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1285</Words>
  <Characters>1359</Characters>
  <Lines>0</Lines>
  <Paragraphs>0</Paragraphs>
  <TotalTime>0</TotalTime>
  <ScaleCrop>false</ScaleCrop>
  <LinksUpToDate>false</LinksUpToDate>
  <CharactersWithSpaces>1363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2022-12-15T02:34:00Z</dcterms:created>
  <dc:creator>Administrator</dc:creator>
  <cp:lastModifiedBy>烽悦</cp:lastModifiedBy>
  <dcterms:modified xsi:type="dcterms:W3CDTF">2025-09-26T06:35:41Z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7385F6B7FA7F4E20ACD557C71209B22C</vt:lpwstr>
  </property>
  <property fmtid="{D5CDD505-2E9C-101B-9397-08002B2CF9AE}" pid="4" name="KSOTemplateDocerSaveRecord">
    <vt:lpwstr>eyJoZGlkIjoiMTU5YWNiMzAyN2M5YWZkNjhjNmI5Mzg2Y2M4MmRiZDYiLCJ1c2VySWQiOiI2NDg1OTIwNzMifQ==</vt:lpwstr>
  </property>
</Properties>
</file>