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53CCC">
      <w:pPr>
        <w:autoSpaceDN w:val="0"/>
        <w:snapToGrid w:val="0"/>
        <w:spacing w:line="360" w:lineRule="auto"/>
        <w:jc w:val="left"/>
        <w:rPr>
          <w:rFonts w:ascii="宋体" w:hAnsi="宋体" w:cs="宋体"/>
          <w:sz w:val="28"/>
          <w:szCs w:val="28"/>
        </w:rPr>
      </w:pPr>
      <w:r>
        <w:rPr>
          <w:rFonts w:hint="eastAsia" w:ascii="宋体" w:hAnsi="宋体" w:cs="宋体"/>
          <w:sz w:val="28"/>
          <w:szCs w:val="28"/>
        </w:rPr>
        <w:t>评标细则</w:t>
      </w:r>
    </w:p>
    <w:p w14:paraId="2003E552">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本项目采用评标方法为综合评估法（评定分离采用定量+定性评审，两阶段评标）。评审因素包括商务技术、经济等。评委综合各投标人所有评审因素择优推荐5名定标候选人（若少于5名则全部入围）。由招标人组建的定标委员会，采用票决定标法在评标委员会推荐的定标候选人中确定1-3名中标候选人。定标委员会如认为定标候选人设计文件、项目管理组织方案均不能满足招标要求，可以否决所有定标候选人，并不确定中标人。详见招标文件第三章评标、定标办法。招标文件“第三章 评标办法”与本细则不一致的，以本细则为准。</w:t>
      </w:r>
    </w:p>
    <w:p w14:paraId="55439CDA">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一、初步评审</w:t>
      </w:r>
    </w:p>
    <w:p w14:paraId="56B9D518">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投标文件响应招标文件实质性要求，按招标文件初步评审标准评审合格。不符合要求的，作废标处理。</w:t>
      </w:r>
    </w:p>
    <w:p w14:paraId="1D2EDDE6">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二、详细评审</w:t>
      </w:r>
    </w:p>
    <w:p w14:paraId="1775FFD1">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对投标文件评审实行两阶段评标。评审顺序：第一阶段：商务技术评审；第二阶段：经济文件评审。</w:t>
      </w:r>
    </w:p>
    <w:p w14:paraId="5A52BCE8">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第一阶段先进行商务技术文件(包含资格审查文件)开标评标。评标委员会按照评标方案规定的商务技术(设计方案、商务标) 评分标准对通过资格审查的投标文件进行打分，选择商务技术文件得分汇总排前几名的投标人（投标人超过 16 个（含）的，取前 11 名；投标人为 12-15个（含）的，取前 9 名；投标人为 9-11个（含）的，取前 7名）；投标人为8个及以下的，取前5名；末位得分相同的投标人同时进入第二阶段。当进入第一阶段的投标人数量≤5名时，所有有效投标文件均进入第二阶段评审，但仍应按照招标文件对所有投标文件的商务技术文件进行评审，作为招标人定标参考依据。</w:t>
      </w:r>
    </w:p>
    <w:p w14:paraId="40016A35">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1、第一段阶技术标评审内容(45分)</w:t>
      </w:r>
      <w:r>
        <w:rPr>
          <w:rFonts w:hint="eastAsia" w:ascii="宋体" w:hAnsi="宋体" w:cs="宋体"/>
          <w:b/>
          <w:bCs/>
          <w:sz w:val="28"/>
          <w:szCs w:val="28"/>
        </w:rPr>
        <w:t>(暗标)</w:t>
      </w:r>
    </w:p>
    <w:tbl>
      <w:tblPr>
        <w:tblStyle w:val="6"/>
        <w:tblW w:w="968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867"/>
        <w:gridCol w:w="836"/>
        <w:gridCol w:w="6152"/>
      </w:tblGrid>
      <w:tr w14:paraId="61DAD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25" w:type="dxa"/>
          </w:tcPr>
          <w:p w14:paraId="69F52C97">
            <w:pPr>
              <w:pStyle w:val="10"/>
              <w:spacing w:before="232" w:line="360" w:lineRule="auto"/>
              <w:ind w:left="178"/>
              <w:jc w:val="center"/>
            </w:pPr>
            <w:r>
              <w:rPr>
                <w:rFonts w:hint="eastAsia"/>
                <w:spacing w:val="-3"/>
              </w:rPr>
              <w:t>序号</w:t>
            </w:r>
          </w:p>
        </w:tc>
        <w:tc>
          <w:tcPr>
            <w:tcW w:w="1867" w:type="dxa"/>
          </w:tcPr>
          <w:p w14:paraId="1FCB444A">
            <w:pPr>
              <w:pStyle w:val="10"/>
              <w:spacing w:before="232" w:line="360" w:lineRule="auto"/>
              <w:jc w:val="center"/>
            </w:pPr>
            <w:r>
              <w:rPr>
                <w:rFonts w:hint="eastAsia"/>
                <w:spacing w:val="-2"/>
              </w:rPr>
              <w:t>评审项目</w:t>
            </w:r>
          </w:p>
        </w:tc>
        <w:tc>
          <w:tcPr>
            <w:tcW w:w="836" w:type="dxa"/>
          </w:tcPr>
          <w:p w14:paraId="67497289">
            <w:pPr>
              <w:pStyle w:val="10"/>
              <w:spacing w:before="231" w:line="360" w:lineRule="auto"/>
              <w:jc w:val="center"/>
            </w:pPr>
            <w:r>
              <w:rPr>
                <w:rFonts w:hint="eastAsia"/>
              </w:rPr>
              <w:t>分值</w:t>
            </w:r>
          </w:p>
        </w:tc>
        <w:tc>
          <w:tcPr>
            <w:tcW w:w="6152" w:type="dxa"/>
          </w:tcPr>
          <w:p w14:paraId="57FF64A6">
            <w:pPr>
              <w:pStyle w:val="10"/>
              <w:spacing w:before="231" w:line="360" w:lineRule="auto"/>
              <w:jc w:val="center"/>
              <w:rPr>
                <w:spacing w:val="-2"/>
              </w:rPr>
            </w:pPr>
            <w:r>
              <w:rPr>
                <w:rFonts w:hint="eastAsia"/>
                <w:spacing w:val="-2"/>
              </w:rPr>
              <w:t>评审内容</w:t>
            </w:r>
          </w:p>
        </w:tc>
      </w:tr>
      <w:tr w14:paraId="01E78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825" w:type="dxa"/>
            <w:vAlign w:val="center"/>
          </w:tcPr>
          <w:p w14:paraId="0F901C4E">
            <w:pPr>
              <w:pStyle w:val="10"/>
              <w:spacing w:before="78" w:line="360" w:lineRule="auto"/>
              <w:ind w:left="257"/>
              <w:jc w:val="left"/>
            </w:pPr>
            <w:r>
              <w:rPr>
                <w:rFonts w:hint="eastAsia"/>
                <w:spacing w:val="-10"/>
              </w:rPr>
              <w:t>1.1</w:t>
            </w:r>
          </w:p>
        </w:tc>
        <w:tc>
          <w:tcPr>
            <w:tcW w:w="1867" w:type="dxa"/>
            <w:vAlign w:val="center"/>
          </w:tcPr>
          <w:p w14:paraId="62E29311">
            <w:pPr>
              <w:widowControl/>
              <w:spacing w:line="360" w:lineRule="auto"/>
              <w:jc w:val="center"/>
              <w:rPr>
                <w:sz w:val="24"/>
                <w:szCs w:val="24"/>
              </w:rPr>
            </w:pPr>
            <w:r>
              <w:rPr>
                <w:rFonts w:hint="eastAsia"/>
                <w:sz w:val="24"/>
                <w:szCs w:val="24"/>
              </w:rPr>
              <w:t>设计说明</w:t>
            </w:r>
          </w:p>
        </w:tc>
        <w:tc>
          <w:tcPr>
            <w:tcW w:w="836" w:type="dxa"/>
            <w:vAlign w:val="center"/>
          </w:tcPr>
          <w:p w14:paraId="44953102">
            <w:pPr>
              <w:spacing w:before="96" w:line="360" w:lineRule="exact"/>
              <w:jc w:val="center"/>
              <w:rPr>
                <w:rFonts w:ascii="宋体" w:hAnsi="宋体" w:cs="宋体"/>
                <w:sz w:val="24"/>
                <w:szCs w:val="24"/>
              </w:rPr>
            </w:pPr>
            <w:r>
              <w:rPr>
                <w:rFonts w:hint="eastAsia" w:ascii="宋体" w:hAnsi="宋体" w:cs="宋体"/>
                <w:sz w:val="24"/>
                <w:szCs w:val="24"/>
              </w:rPr>
              <w:t>3</w:t>
            </w:r>
          </w:p>
        </w:tc>
        <w:tc>
          <w:tcPr>
            <w:tcW w:w="6152" w:type="dxa"/>
            <w:vAlign w:val="center"/>
          </w:tcPr>
          <w:p w14:paraId="2D40B2DB">
            <w:pPr>
              <w:spacing w:line="360" w:lineRule="auto"/>
              <w:rPr>
                <w:sz w:val="24"/>
                <w:szCs w:val="24"/>
              </w:rPr>
            </w:pPr>
            <w:r>
              <w:rPr>
                <w:rFonts w:hint="eastAsia"/>
                <w:sz w:val="24"/>
                <w:szCs w:val="24"/>
              </w:rPr>
              <w:t>内容全面、重点突出、明确规范标准，招标范围内容一一说明无漏项。评委在0-3分内酌情打分。</w:t>
            </w:r>
          </w:p>
        </w:tc>
      </w:tr>
      <w:tr w14:paraId="71822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825" w:type="dxa"/>
            <w:vAlign w:val="center"/>
          </w:tcPr>
          <w:p w14:paraId="5A9FECE8">
            <w:pPr>
              <w:pStyle w:val="10"/>
              <w:spacing w:before="78" w:line="360" w:lineRule="auto"/>
              <w:ind w:left="257"/>
              <w:jc w:val="left"/>
            </w:pPr>
            <w:r>
              <w:rPr>
                <w:rFonts w:hint="eastAsia"/>
                <w:spacing w:val="-10"/>
              </w:rPr>
              <w:t>1.2</w:t>
            </w:r>
          </w:p>
        </w:tc>
        <w:tc>
          <w:tcPr>
            <w:tcW w:w="1867" w:type="dxa"/>
            <w:vAlign w:val="center"/>
          </w:tcPr>
          <w:p w14:paraId="2EDD3505">
            <w:pPr>
              <w:widowControl/>
              <w:spacing w:line="360" w:lineRule="auto"/>
              <w:jc w:val="center"/>
              <w:rPr>
                <w:sz w:val="24"/>
                <w:szCs w:val="24"/>
              </w:rPr>
            </w:pPr>
            <w:r>
              <w:rPr>
                <w:rFonts w:hint="eastAsia"/>
                <w:sz w:val="24"/>
                <w:szCs w:val="24"/>
              </w:rPr>
              <w:t>总体规划及布局</w:t>
            </w:r>
          </w:p>
        </w:tc>
        <w:tc>
          <w:tcPr>
            <w:tcW w:w="836" w:type="dxa"/>
            <w:vAlign w:val="center"/>
          </w:tcPr>
          <w:p w14:paraId="7D1C0E94">
            <w:pPr>
              <w:spacing w:before="96" w:line="360" w:lineRule="exact"/>
              <w:jc w:val="center"/>
              <w:rPr>
                <w:rFonts w:ascii="宋体" w:hAnsi="宋体" w:cs="宋体"/>
                <w:sz w:val="24"/>
                <w:szCs w:val="24"/>
              </w:rPr>
            </w:pPr>
            <w:r>
              <w:rPr>
                <w:rFonts w:hint="eastAsia" w:ascii="宋体" w:hAnsi="宋体" w:cs="宋体"/>
                <w:sz w:val="24"/>
                <w:szCs w:val="24"/>
                <w:highlight w:val="cyan"/>
              </w:rPr>
              <w:t>1</w:t>
            </w:r>
            <w:r>
              <w:rPr>
                <w:rFonts w:ascii="宋体" w:hAnsi="宋体" w:cs="宋体"/>
                <w:sz w:val="24"/>
                <w:szCs w:val="24"/>
                <w:highlight w:val="cyan"/>
              </w:rPr>
              <w:t>1</w:t>
            </w:r>
          </w:p>
        </w:tc>
        <w:tc>
          <w:tcPr>
            <w:tcW w:w="6152" w:type="dxa"/>
            <w:vAlign w:val="center"/>
          </w:tcPr>
          <w:p w14:paraId="762C0BAE">
            <w:pPr>
              <w:spacing w:line="360" w:lineRule="auto"/>
              <w:rPr>
                <w:sz w:val="24"/>
                <w:szCs w:val="24"/>
              </w:rPr>
            </w:pPr>
            <w:r>
              <w:rPr>
                <w:rFonts w:hint="eastAsia"/>
                <w:sz w:val="24"/>
                <w:szCs w:val="24"/>
              </w:rPr>
              <w:t>（1）总体方案符合设计规范，符合标书提出的规划指标要求。</w:t>
            </w:r>
            <w:r>
              <w:rPr>
                <w:rFonts w:hint="eastAsia"/>
                <w:sz w:val="24"/>
                <w:szCs w:val="24"/>
                <w:highlight w:val="cyan"/>
              </w:rPr>
              <w:t>（</w:t>
            </w:r>
            <w:r>
              <w:rPr>
                <w:sz w:val="24"/>
                <w:szCs w:val="24"/>
                <w:highlight w:val="cyan"/>
              </w:rPr>
              <w:t>2</w:t>
            </w:r>
            <w:r>
              <w:rPr>
                <w:rFonts w:hint="eastAsia"/>
                <w:sz w:val="24"/>
                <w:szCs w:val="24"/>
                <w:highlight w:val="cyan"/>
              </w:rPr>
              <w:t>分）</w:t>
            </w:r>
          </w:p>
          <w:p w14:paraId="1B8DAB6C">
            <w:pPr>
              <w:spacing w:line="360" w:lineRule="auto"/>
              <w:rPr>
                <w:sz w:val="24"/>
                <w:szCs w:val="24"/>
              </w:rPr>
            </w:pPr>
            <w:r>
              <w:rPr>
                <w:rFonts w:hint="eastAsia"/>
                <w:sz w:val="24"/>
                <w:szCs w:val="24"/>
              </w:rPr>
              <w:t>（2）总平面布局合理，符合项目功能特性，与环境有机结合。（4分）</w:t>
            </w:r>
          </w:p>
          <w:p w14:paraId="75A753A3">
            <w:pPr>
              <w:spacing w:line="360" w:lineRule="auto"/>
              <w:rPr>
                <w:sz w:val="24"/>
                <w:szCs w:val="24"/>
              </w:rPr>
            </w:pPr>
            <w:r>
              <w:rPr>
                <w:rFonts w:hint="eastAsia"/>
                <w:sz w:val="24"/>
                <w:szCs w:val="24"/>
              </w:rPr>
              <w:t>（3）交通流线清晰，出入口位置合理，机动车（非机动车）停车满足要求。（5分）</w:t>
            </w:r>
          </w:p>
        </w:tc>
      </w:tr>
      <w:tr w14:paraId="47AF9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825" w:type="dxa"/>
            <w:vAlign w:val="center"/>
          </w:tcPr>
          <w:p w14:paraId="326D9CE8">
            <w:pPr>
              <w:pStyle w:val="10"/>
              <w:spacing w:before="266" w:line="360" w:lineRule="auto"/>
              <w:ind w:left="257"/>
              <w:jc w:val="left"/>
            </w:pPr>
            <w:r>
              <w:rPr>
                <w:rFonts w:hint="eastAsia"/>
                <w:spacing w:val="-10"/>
              </w:rPr>
              <w:t>1.3</w:t>
            </w:r>
          </w:p>
        </w:tc>
        <w:tc>
          <w:tcPr>
            <w:tcW w:w="1867" w:type="dxa"/>
            <w:vAlign w:val="center"/>
          </w:tcPr>
          <w:p w14:paraId="72BD3EAC">
            <w:pPr>
              <w:widowControl/>
              <w:spacing w:line="360" w:lineRule="auto"/>
              <w:jc w:val="center"/>
              <w:rPr>
                <w:sz w:val="24"/>
                <w:szCs w:val="24"/>
              </w:rPr>
            </w:pPr>
            <w:r>
              <w:rPr>
                <w:rFonts w:hint="eastAsia"/>
                <w:sz w:val="24"/>
                <w:szCs w:val="24"/>
              </w:rPr>
              <w:t>使用功能</w:t>
            </w:r>
          </w:p>
        </w:tc>
        <w:tc>
          <w:tcPr>
            <w:tcW w:w="836" w:type="dxa"/>
            <w:vAlign w:val="center"/>
          </w:tcPr>
          <w:p w14:paraId="4F2B69AA">
            <w:pPr>
              <w:spacing w:before="96" w:line="360" w:lineRule="exact"/>
              <w:jc w:val="center"/>
              <w:rPr>
                <w:rFonts w:ascii="宋体" w:hAnsi="宋体" w:cs="宋体"/>
                <w:sz w:val="24"/>
                <w:szCs w:val="24"/>
              </w:rPr>
            </w:pPr>
            <w:r>
              <w:rPr>
                <w:rFonts w:hint="eastAsia" w:ascii="宋体" w:hAnsi="宋体" w:cs="宋体"/>
                <w:sz w:val="24"/>
                <w:szCs w:val="24"/>
              </w:rPr>
              <w:t>10</w:t>
            </w:r>
          </w:p>
        </w:tc>
        <w:tc>
          <w:tcPr>
            <w:tcW w:w="6152" w:type="dxa"/>
          </w:tcPr>
          <w:p w14:paraId="36659CDB">
            <w:pPr>
              <w:spacing w:line="360" w:lineRule="auto"/>
              <w:rPr>
                <w:sz w:val="24"/>
                <w:szCs w:val="24"/>
              </w:rPr>
            </w:pPr>
            <w:r>
              <w:rPr>
                <w:rFonts w:hint="eastAsia"/>
                <w:sz w:val="24"/>
                <w:szCs w:val="24"/>
              </w:rPr>
              <w:t>（1）建筑使用功能内容设计完整无遗漏，建筑总面积和单项面积符合标书和功能要求。（2分）</w:t>
            </w:r>
          </w:p>
          <w:p w14:paraId="1E3418CC">
            <w:pPr>
              <w:spacing w:line="360" w:lineRule="auto"/>
              <w:rPr>
                <w:sz w:val="24"/>
                <w:szCs w:val="24"/>
              </w:rPr>
            </w:pPr>
            <w:r>
              <w:rPr>
                <w:rFonts w:hint="eastAsia"/>
                <w:sz w:val="24"/>
                <w:szCs w:val="24"/>
              </w:rPr>
              <w:t>（2）平面布局合理，功能分区明确。（2分）</w:t>
            </w:r>
          </w:p>
          <w:p w14:paraId="7AE352E1">
            <w:pPr>
              <w:spacing w:line="360" w:lineRule="auto"/>
              <w:rPr>
                <w:sz w:val="24"/>
                <w:szCs w:val="24"/>
              </w:rPr>
            </w:pPr>
            <w:r>
              <w:rPr>
                <w:rFonts w:hint="eastAsia"/>
                <w:sz w:val="24"/>
                <w:szCs w:val="24"/>
              </w:rPr>
              <w:t>（3）建筑出入口、人流组织及竖向交通合理。（2分）</w:t>
            </w:r>
          </w:p>
          <w:p w14:paraId="0AFE85E3">
            <w:pPr>
              <w:spacing w:line="360" w:lineRule="auto"/>
              <w:rPr>
                <w:sz w:val="24"/>
                <w:szCs w:val="24"/>
              </w:rPr>
            </w:pPr>
            <w:r>
              <w:rPr>
                <w:rFonts w:hint="eastAsia"/>
                <w:sz w:val="24"/>
                <w:szCs w:val="24"/>
              </w:rPr>
              <w:t>（4）其它需要表达的内容说明。（4分）</w:t>
            </w:r>
          </w:p>
        </w:tc>
      </w:tr>
      <w:tr w14:paraId="247EB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825" w:type="dxa"/>
            <w:vAlign w:val="center"/>
          </w:tcPr>
          <w:p w14:paraId="1779E08E">
            <w:pPr>
              <w:pStyle w:val="10"/>
              <w:spacing w:before="78" w:line="360" w:lineRule="auto"/>
              <w:ind w:left="257"/>
              <w:jc w:val="left"/>
            </w:pPr>
            <w:r>
              <w:rPr>
                <w:rFonts w:hint="eastAsia"/>
                <w:spacing w:val="-10"/>
              </w:rPr>
              <w:t>1.4</w:t>
            </w:r>
          </w:p>
        </w:tc>
        <w:tc>
          <w:tcPr>
            <w:tcW w:w="1867" w:type="dxa"/>
            <w:vAlign w:val="center"/>
          </w:tcPr>
          <w:p w14:paraId="54AF6FA0">
            <w:pPr>
              <w:widowControl/>
              <w:spacing w:line="360" w:lineRule="auto"/>
              <w:jc w:val="center"/>
              <w:rPr>
                <w:sz w:val="24"/>
                <w:szCs w:val="24"/>
              </w:rPr>
            </w:pPr>
            <w:r>
              <w:rPr>
                <w:rFonts w:hint="eastAsia"/>
                <w:sz w:val="24"/>
                <w:szCs w:val="24"/>
              </w:rPr>
              <w:t>构思立意及美观协调</w:t>
            </w:r>
          </w:p>
        </w:tc>
        <w:tc>
          <w:tcPr>
            <w:tcW w:w="836" w:type="dxa"/>
            <w:vAlign w:val="center"/>
          </w:tcPr>
          <w:p w14:paraId="64545206">
            <w:pPr>
              <w:spacing w:before="96" w:line="360" w:lineRule="exact"/>
              <w:jc w:val="center"/>
              <w:rPr>
                <w:rFonts w:ascii="宋体" w:hAnsi="宋体" w:cs="宋体"/>
                <w:sz w:val="24"/>
                <w:szCs w:val="24"/>
              </w:rPr>
            </w:pPr>
            <w:r>
              <w:rPr>
                <w:rFonts w:hint="eastAsia" w:ascii="宋体" w:hAnsi="宋体" w:cs="宋体"/>
                <w:sz w:val="24"/>
                <w:szCs w:val="24"/>
              </w:rPr>
              <w:t>10</w:t>
            </w:r>
          </w:p>
        </w:tc>
        <w:tc>
          <w:tcPr>
            <w:tcW w:w="6152" w:type="dxa"/>
            <w:vAlign w:val="center"/>
          </w:tcPr>
          <w:p w14:paraId="4BD01468">
            <w:pPr>
              <w:spacing w:line="360" w:lineRule="auto"/>
              <w:rPr>
                <w:sz w:val="24"/>
                <w:szCs w:val="24"/>
              </w:rPr>
            </w:pPr>
            <w:r>
              <w:rPr>
                <w:rFonts w:hint="eastAsia"/>
                <w:sz w:val="24"/>
                <w:szCs w:val="24"/>
              </w:rPr>
              <w:t>（1）构思新颖，立意独特，寓意深刻，特点鲜明，富有创意。（2分）</w:t>
            </w:r>
          </w:p>
          <w:p w14:paraId="00CF58DD">
            <w:pPr>
              <w:spacing w:line="360" w:lineRule="auto"/>
              <w:rPr>
                <w:sz w:val="24"/>
                <w:szCs w:val="24"/>
              </w:rPr>
            </w:pPr>
            <w:r>
              <w:rPr>
                <w:rFonts w:hint="eastAsia"/>
                <w:sz w:val="24"/>
                <w:szCs w:val="24"/>
              </w:rPr>
              <w:t>（2）鸟瞰图、透视图、立面设计完整细致，互相呼应。（4分）</w:t>
            </w:r>
          </w:p>
          <w:p w14:paraId="5494DEEB">
            <w:pPr>
              <w:spacing w:line="360" w:lineRule="auto"/>
              <w:rPr>
                <w:sz w:val="24"/>
                <w:szCs w:val="24"/>
              </w:rPr>
            </w:pPr>
            <w:r>
              <w:rPr>
                <w:rFonts w:hint="eastAsia"/>
                <w:sz w:val="24"/>
                <w:szCs w:val="24"/>
              </w:rPr>
              <w:t>（3）景观设计符合整体场地布局要求，与整体建筑风格相协调。（2分）</w:t>
            </w:r>
          </w:p>
          <w:p w14:paraId="6ECB74B8">
            <w:pPr>
              <w:spacing w:line="360" w:lineRule="auto"/>
              <w:rPr>
                <w:sz w:val="24"/>
                <w:szCs w:val="24"/>
              </w:rPr>
            </w:pPr>
            <w:r>
              <w:rPr>
                <w:rFonts w:hint="eastAsia"/>
                <w:sz w:val="24"/>
                <w:szCs w:val="24"/>
              </w:rPr>
              <w:t>（4）室内装修设计符合整体建筑风格。（2分）</w:t>
            </w:r>
          </w:p>
        </w:tc>
      </w:tr>
      <w:tr w14:paraId="6C38F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825" w:type="dxa"/>
            <w:vAlign w:val="center"/>
          </w:tcPr>
          <w:p w14:paraId="1C606E3D">
            <w:pPr>
              <w:pStyle w:val="10"/>
              <w:spacing w:before="78" w:line="360" w:lineRule="auto"/>
              <w:ind w:left="257"/>
              <w:jc w:val="left"/>
              <w:rPr>
                <w:spacing w:val="-10"/>
              </w:rPr>
            </w:pPr>
            <w:r>
              <w:rPr>
                <w:rFonts w:hint="eastAsia"/>
                <w:spacing w:val="-10"/>
              </w:rPr>
              <w:t>1.5</w:t>
            </w:r>
          </w:p>
        </w:tc>
        <w:tc>
          <w:tcPr>
            <w:tcW w:w="1867" w:type="dxa"/>
            <w:vAlign w:val="center"/>
          </w:tcPr>
          <w:p w14:paraId="0197D11D">
            <w:pPr>
              <w:widowControl/>
              <w:spacing w:line="360" w:lineRule="auto"/>
              <w:jc w:val="center"/>
              <w:rPr>
                <w:sz w:val="24"/>
                <w:szCs w:val="24"/>
              </w:rPr>
            </w:pPr>
            <w:r>
              <w:rPr>
                <w:rFonts w:hint="eastAsia"/>
                <w:sz w:val="24"/>
                <w:szCs w:val="24"/>
              </w:rPr>
              <w:t>技术应用</w:t>
            </w:r>
          </w:p>
        </w:tc>
        <w:tc>
          <w:tcPr>
            <w:tcW w:w="836" w:type="dxa"/>
            <w:vAlign w:val="center"/>
          </w:tcPr>
          <w:p w14:paraId="0AF4F6EA">
            <w:pPr>
              <w:spacing w:before="96" w:line="360" w:lineRule="exact"/>
              <w:jc w:val="center"/>
              <w:rPr>
                <w:rFonts w:ascii="宋体" w:hAnsi="宋体" w:cs="宋体"/>
                <w:sz w:val="24"/>
                <w:szCs w:val="24"/>
              </w:rPr>
            </w:pPr>
            <w:r>
              <w:rPr>
                <w:rFonts w:ascii="宋体" w:hAnsi="宋体" w:cs="宋体"/>
                <w:sz w:val="24"/>
                <w:szCs w:val="24"/>
                <w:highlight w:val="cyan"/>
              </w:rPr>
              <w:t>2</w:t>
            </w:r>
          </w:p>
        </w:tc>
        <w:tc>
          <w:tcPr>
            <w:tcW w:w="6152" w:type="dxa"/>
            <w:vAlign w:val="center"/>
          </w:tcPr>
          <w:p w14:paraId="1470A134">
            <w:pPr>
              <w:spacing w:line="360" w:lineRule="auto"/>
              <w:rPr>
                <w:sz w:val="24"/>
                <w:szCs w:val="24"/>
              </w:rPr>
            </w:pPr>
            <w:r>
              <w:rPr>
                <w:rFonts w:hint="eastAsia"/>
                <w:sz w:val="24"/>
                <w:szCs w:val="24"/>
              </w:rPr>
              <w:t>（1）装配式建筑、绿色建筑的运用说明。（1分）</w:t>
            </w:r>
          </w:p>
          <w:p w14:paraId="4C9951A5">
            <w:pPr>
              <w:spacing w:line="360" w:lineRule="auto"/>
              <w:rPr>
                <w:sz w:val="24"/>
                <w:szCs w:val="24"/>
              </w:rPr>
            </w:pPr>
            <w:r>
              <w:rPr>
                <w:rFonts w:hint="eastAsia"/>
                <w:sz w:val="24"/>
                <w:szCs w:val="24"/>
              </w:rPr>
              <w:t>（2）环保、节能及新技术、新材料的应用。（1分）</w:t>
            </w:r>
          </w:p>
        </w:tc>
      </w:tr>
      <w:tr w14:paraId="6959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825" w:type="dxa"/>
            <w:vAlign w:val="center"/>
          </w:tcPr>
          <w:p w14:paraId="3E6968EB">
            <w:pPr>
              <w:pStyle w:val="10"/>
              <w:spacing w:before="78" w:line="360" w:lineRule="auto"/>
              <w:ind w:left="257"/>
              <w:jc w:val="left"/>
              <w:rPr>
                <w:spacing w:val="-10"/>
              </w:rPr>
            </w:pPr>
            <w:r>
              <w:rPr>
                <w:rFonts w:hint="eastAsia"/>
                <w:spacing w:val="-10"/>
              </w:rPr>
              <w:t>1.6</w:t>
            </w:r>
          </w:p>
        </w:tc>
        <w:tc>
          <w:tcPr>
            <w:tcW w:w="1867" w:type="dxa"/>
            <w:vAlign w:val="center"/>
          </w:tcPr>
          <w:p w14:paraId="7F71574A">
            <w:pPr>
              <w:widowControl/>
              <w:spacing w:line="360" w:lineRule="auto"/>
              <w:jc w:val="center"/>
              <w:rPr>
                <w:sz w:val="24"/>
                <w:szCs w:val="24"/>
              </w:rPr>
            </w:pPr>
            <w:r>
              <w:rPr>
                <w:rFonts w:hint="eastAsia"/>
                <w:sz w:val="24"/>
                <w:szCs w:val="24"/>
              </w:rPr>
              <w:t>控制造价措施</w:t>
            </w:r>
          </w:p>
        </w:tc>
        <w:tc>
          <w:tcPr>
            <w:tcW w:w="836" w:type="dxa"/>
            <w:vAlign w:val="center"/>
          </w:tcPr>
          <w:p w14:paraId="4A26E95A">
            <w:pPr>
              <w:spacing w:before="96" w:line="360" w:lineRule="exact"/>
              <w:jc w:val="center"/>
              <w:rPr>
                <w:rFonts w:ascii="宋体" w:hAnsi="宋体" w:cs="宋体"/>
                <w:sz w:val="24"/>
                <w:szCs w:val="24"/>
              </w:rPr>
            </w:pPr>
            <w:r>
              <w:rPr>
                <w:rFonts w:hint="eastAsia" w:ascii="宋体" w:hAnsi="宋体" w:cs="宋体"/>
                <w:sz w:val="24"/>
                <w:szCs w:val="24"/>
              </w:rPr>
              <w:t>3</w:t>
            </w:r>
          </w:p>
        </w:tc>
        <w:tc>
          <w:tcPr>
            <w:tcW w:w="6152" w:type="dxa"/>
            <w:vAlign w:val="center"/>
          </w:tcPr>
          <w:p w14:paraId="4D22A2F7">
            <w:pPr>
              <w:spacing w:line="360" w:lineRule="auto"/>
              <w:rPr>
                <w:sz w:val="24"/>
                <w:szCs w:val="24"/>
              </w:rPr>
            </w:pPr>
            <w:r>
              <w:rPr>
                <w:rFonts w:hint="eastAsia"/>
                <w:sz w:val="24"/>
                <w:szCs w:val="24"/>
              </w:rPr>
              <w:t>（1）控制工程投资的方法及设计成本优化措施。（2分）</w:t>
            </w:r>
          </w:p>
          <w:p w14:paraId="47B16294">
            <w:pPr>
              <w:spacing w:line="360" w:lineRule="auto"/>
              <w:rPr>
                <w:sz w:val="24"/>
                <w:szCs w:val="24"/>
              </w:rPr>
            </w:pPr>
            <w:r>
              <w:rPr>
                <w:rFonts w:hint="eastAsia"/>
                <w:sz w:val="24"/>
                <w:szCs w:val="24"/>
              </w:rPr>
              <w:t>（2）限额设计技术经济指标的合理性。（1分）</w:t>
            </w:r>
          </w:p>
        </w:tc>
      </w:tr>
      <w:tr w14:paraId="2AAF2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825" w:type="dxa"/>
            <w:vAlign w:val="center"/>
          </w:tcPr>
          <w:p w14:paraId="59B9758C">
            <w:pPr>
              <w:pStyle w:val="10"/>
              <w:spacing w:before="269" w:line="360" w:lineRule="auto"/>
              <w:ind w:left="257"/>
              <w:jc w:val="left"/>
            </w:pPr>
            <w:r>
              <w:rPr>
                <w:rFonts w:hint="eastAsia"/>
                <w:spacing w:val="-7"/>
              </w:rPr>
              <w:t>1.7</w:t>
            </w:r>
          </w:p>
        </w:tc>
        <w:tc>
          <w:tcPr>
            <w:tcW w:w="1867" w:type="dxa"/>
            <w:vAlign w:val="center"/>
          </w:tcPr>
          <w:p w14:paraId="191B2881">
            <w:pPr>
              <w:widowControl/>
              <w:spacing w:line="360" w:lineRule="auto"/>
              <w:jc w:val="center"/>
              <w:rPr>
                <w:sz w:val="24"/>
                <w:szCs w:val="24"/>
              </w:rPr>
            </w:pPr>
            <w:r>
              <w:rPr>
                <w:rFonts w:hint="eastAsia"/>
                <w:sz w:val="24"/>
                <w:szCs w:val="24"/>
              </w:rPr>
              <w:t>服务质量保证措施及合理化建议</w:t>
            </w:r>
          </w:p>
        </w:tc>
        <w:tc>
          <w:tcPr>
            <w:tcW w:w="836" w:type="dxa"/>
            <w:vAlign w:val="center"/>
          </w:tcPr>
          <w:p w14:paraId="6882340B">
            <w:pPr>
              <w:spacing w:line="360" w:lineRule="exact"/>
              <w:ind w:right="1"/>
              <w:jc w:val="center"/>
              <w:rPr>
                <w:rFonts w:ascii="宋体" w:hAnsi="宋体" w:cs="宋体"/>
                <w:sz w:val="24"/>
                <w:szCs w:val="24"/>
              </w:rPr>
            </w:pPr>
            <w:r>
              <w:rPr>
                <w:rFonts w:hint="eastAsia" w:ascii="宋体" w:hAnsi="宋体" w:cs="宋体"/>
                <w:sz w:val="24"/>
                <w:szCs w:val="24"/>
              </w:rPr>
              <w:t>6</w:t>
            </w:r>
          </w:p>
        </w:tc>
        <w:tc>
          <w:tcPr>
            <w:tcW w:w="6152" w:type="dxa"/>
            <w:vAlign w:val="center"/>
          </w:tcPr>
          <w:p w14:paraId="597DC678">
            <w:pPr>
              <w:spacing w:line="360" w:lineRule="auto"/>
              <w:rPr>
                <w:sz w:val="24"/>
                <w:szCs w:val="24"/>
              </w:rPr>
            </w:pPr>
            <w:r>
              <w:rPr>
                <w:rFonts w:hint="eastAsia"/>
                <w:sz w:val="24"/>
                <w:szCs w:val="24"/>
              </w:rPr>
              <w:t>（1）服务质量保证措施。（3分）</w:t>
            </w:r>
          </w:p>
          <w:p w14:paraId="21B0C049">
            <w:pPr>
              <w:spacing w:line="360" w:lineRule="auto"/>
              <w:rPr>
                <w:sz w:val="24"/>
                <w:szCs w:val="24"/>
              </w:rPr>
            </w:pPr>
            <w:r>
              <w:rPr>
                <w:rFonts w:hint="eastAsia"/>
                <w:sz w:val="24"/>
                <w:szCs w:val="24"/>
              </w:rPr>
              <w:t>（2）对设计质量的管理和保证措施。 （3分）</w:t>
            </w:r>
          </w:p>
        </w:tc>
      </w:tr>
      <w:tr w14:paraId="4F348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9680" w:type="dxa"/>
            <w:gridSpan w:val="4"/>
            <w:vAlign w:val="center"/>
          </w:tcPr>
          <w:p w14:paraId="4134459D">
            <w:pPr>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说明：1. 以上设计方案部分采用</w:t>
            </w:r>
            <w:r>
              <w:rPr>
                <w:rFonts w:hint="eastAsia" w:ascii="宋体" w:hAnsi="宋体" w:cs="宋体"/>
                <w:b/>
                <w:bCs/>
                <w:color w:val="000000"/>
                <w:kern w:val="0"/>
                <w:sz w:val="24"/>
                <w:szCs w:val="24"/>
              </w:rPr>
              <w:t>暗标</w:t>
            </w:r>
            <w:r>
              <w:rPr>
                <w:rFonts w:hint="eastAsia" w:ascii="宋体" w:hAnsi="宋体" w:cs="宋体"/>
                <w:color w:val="000000"/>
                <w:kern w:val="0"/>
                <w:sz w:val="24"/>
                <w:szCs w:val="24"/>
              </w:rPr>
              <w:t>评审，设计方案内容中（包括文字部分、设计图部分）不得出现显示企业特征或其他提示性的标记或标识（包括文字），否则投标文件无效。</w:t>
            </w:r>
          </w:p>
          <w:p w14:paraId="5FB71575">
            <w:pPr>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2、设计方案各评分点得分应当取所有技术标评委评分中分别去掉一个最高和最低评分后的平均值为最终得分。设计方案中除缺少相应内容的评审要点不得分外，其它各项评审要点得分不应低于该评审要点满分的 70%。</w:t>
            </w:r>
          </w:p>
          <w:p w14:paraId="76647E4B">
            <w:pPr>
              <w:ind w:right="1"/>
              <w:rPr>
                <w:rFonts w:ascii="宋体" w:hAnsi="宋体" w:cs="宋体"/>
                <w:color w:val="080001"/>
                <w:sz w:val="24"/>
                <w:szCs w:val="24"/>
              </w:rPr>
            </w:pPr>
          </w:p>
        </w:tc>
      </w:tr>
    </w:tbl>
    <w:p w14:paraId="5137D474">
      <w:pPr>
        <w:autoSpaceDN w:val="0"/>
        <w:snapToGrid w:val="0"/>
        <w:spacing w:line="360" w:lineRule="auto"/>
        <w:jc w:val="left"/>
        <w:rPr>
          <w:rFonts w:ascii="宋体" w:hAnsi="宋体" w:cs="宋体"/>
          <w:color w:val="0000FF"/>
          <w:sz w:val="28"/>
          <w:szCs w:val="28"/>
          <w:highlight w:val="yellow"/>
        </w:rPr>
      </w:pPr>
    </w:p>
    <w:p w14:paraId="71EC6DB7">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2、商务标评审内容（定量评审）：</w:t>
      </w:r>
    </w:p>
    <w:tbl>
      <w:tblPr>
        <w:tblStyle w:val="6"/>
        <w:tblW w:w="968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869"/>
        <w:gridCol w:w="990"/>
        <w:gridCol w:w="5996"/>
      </w:tblGrid>
      <w:tr w14:paraId="4E5D1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25" w:type="dxa"/>
          </w:tcPr>
          <w:p w14:paraId="5D336C60">
            <w:pPr>
              <w:pStyle w:val="10"/>
              <w:spacing w:before="232" w:line="360" w:lineRule="auto"/>
              <w:ind w:left="178"/>
              <w:jc w:val="center"/>
            </w:pPr>
            <w:r>
              <w:rPr>
                <w:rFonts w:hint="eastAsia"/>
                <w:spacing w:val="-3"/>
              </w:rPr>
              <w:t>序号</w:t>
            </w:r>
          </w:p>
        </w:tc>
        <w:tc>
          <w:tcPr>
            <w:tcW w:w="1869" w:type="dxa"/>
          </w:tcPr>
          <w:p w14:paraId="3E9E72E4">
            <w:pPr>
              <w:pStyle w:val="10"/>
              <w:spacing w:before="232" w:line="360" w:lineRule="auto"/>
              <w:jc w:val="center"/>
            </w:pPr>
            <w:r>
              <w:rPr>
                <w:rFonts w:hint="eastAsia"/>
                <w:spacing w:val="-2"/>
              </w:rPr>
              <w:t>评审项目</w:t>
            </w:r>
          </w:p>
        </w:tc>
        <w:tc>
          <w:tcPr>
            <w:tcW w:w="990" w:type="dxa"/>
          </w:tcPr>
          <w:p w14:paraId="4BBC2A2F">
            <w:pPr>
              <w:pStyle w:val="10"/>
              <w:spacing w:before="231" w:line="360" w:lineRule="auto"/>
              <w:jc w:val="center"/>
            </w:pPr>
            <w:r>
              <w:rPr>
                <w:rFonts w:hint="eastAsia"/>
              </w:rPr>
              <w:t>分值</w:t>
            </w:r>
          </w:p>
        </w:tc>
        <w:tc>
          <w:tcPr>
            <w:tcW w:w="5996" w:type="dxa"/>
          </w:tcPr>
          <w:p w14:paraId="7168243F">
            <w:pPr>
              <w:pStyle w:val="10"/>
              <w:spacing w:before="231" w:line="360" w:lineRule="auto"/>
              <w:jc w:val="center"/>
              <w:rPr>
                <w:spacing w:val="-2"/>
              </w:rPr>
            </w:pPr>
            <w:r>
              <w:rPr>
                <w:rFonts w:hint="eastAsia"/>
                <w:spacing w:val="-2"/>
              </w:rPr>
              <w:t>评审内容</w:t>
            </w:r>
          </w:p>
        </w:tc>
      </w:tr>
      <w:tr w14:paraId="6C736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25" w:type="dxa"/>
            <w:vAlign w:val="center"/>
          </w:tcPr>
          <w:p w14:paraId="79F6B07E">
            <w:pPr>
              <w:pStyle w:val="10"/>
              <w:spacing w:before="78" w:line="360" w:lineRule="auto"/>
              <w:ind w:left="257"/>
              <w:jc w:val="left"/>
            </w:pPr>
            <w:r>
              <w:rPr>
                <w:rFonts w:hint="eastAsia"/>
              </w:rPr>
              <w:t>2.1</w:t>
            </w:r>
          </w:p>
        </w:tc>
        <w:tc>
          <w:tcPr>
            <w:tcW w:w="1869" w:type="dxa"/>
            <w:vAlign w:val="center"/>
          </w:tcPr>
          <w:p w14:paraId="33216F58">
            <w:pPr>
              <w:spacing w:before="96"/>
              <w:ind w:left="70"/>
              <w:jc w:val="center"/>
              <w:rPr>
                <w:rFonts w:ascii="宋体" w:hAnsi="宋体" w:cs="宋体"/>
                <w:sz w:val="24"/>
                <w:szCs w:val="24"/>
              </w:rPr>
            </w:pPr>
            <w:r>
              <w:rPr>
                <w:rFonts w:hint="eastAsia"/>
                <w:sz w:val="24"/>
                <w:szCs w:val="24"/>
              </w:rPr>
              <w:t>项目管理机构</w:t>
            </w:r>
          </w:p>
        </w:tc>
        <w:tc>
          <w:tcPr>
            <w:tcW w:w="990" w:type="dxa"/>
            <w:vAlign w:val="center"/>
          </w:tcPr>
          <w:p w14:paraId="313EE8EF">
            <w:pPr>
              <w:spacing w:before="96"/>
              <w:jc w:val="center"/>
              <w:rPr>
                <w:rFonts w:ascii="宋体" w:hAnsi="宋体" w:cs="宋体"/>
                <w:sz w:val="24"/>
                <w:szCs w:val="24"/>
              </w:rPr>
            </w:pPr>
            <w:r>
              <w:rPr>
                <w:rFonts w:hint="eastAsia" w:ascii="宋体" w:hAnsi="宋体" w:cs="宋体"/>
                <w:sz w:val="24"/>
                <w:szCs w:val="24"/>
              </w:rPr>
              <w:t>17</w:t>
            </w:r>
          </w:p>
        </w:tc>
        <w:tc>
          <w:tcPr>
            <w:tcW w:w="5996" w:type="dxa"/>
            <w:vAlign w:val="center"/>
          </w:tcPr>
          <w:p w14:paraId="7056BF29">
            <w:pPr>
              <w:widowControl/>
              <w:spacing w:line="360" w:lineRule="auto"/>
              <w:ind w:left="42" w:leftChars="20" w:right="42" w:rightChars="20"/>
              <w:rPr>
                <w:sz w:val="24"/>
                <w:szCs w:val="24"/>
              </w:rPr>
            </w:pPr>
            <w:r>
              <w:rPr>
                <w:sz w:val="24"/>
                <w:szCs w:val="24"/>
              </w:rPr>
              <w:t>1、项目负责人(</w:t>
            </w:r>
            <w:r>
              <w:rPr>
                <w:rFonts w:hint="eastAsia"/>
                <w:sz w:val="24"/>
                <w:szCs w:val="24"/>
              </w:rPr>
              <w:t>1</w:t>
            </w:r>
            <w:r>
              <w:rPr>
                <w:sz w:val="24"/>
                <w:szCs w:val="24"/>
              </w:rPr>
              <w:t>分)</w:t>
            </w:r>
          </w:p>
          <w:p w14:paraId="0C1F4C00">
            <w:pPr>
              <w:widowControl/>
              <w:spacing w:line="360" w:lineRule="auto"/>
              <w:ind w:left="49" w:leftChars="20" w:right="42" w:rightChars="20" w:hanging="7"/>
              <w:rPr>
                <w:sz w:val="24"/>
                <w:szCs w:val="24"/>
              </w:rPr>
            </w:pPr>
            <w:r>
              <w:rPr>
                <w:rFonts w:hint="eastAsia"/>
                <w:sz w:val="24"/>
                <w:szCs w:val="24"/>
              </w:rPr>
              <w:t>拟派项目负责人一名，具备高级（含）以上职称的得1分，中级职称的得0.5分</w:t>
            </w:r>
            <w:r>
              <w:rPr>
                <w:sz w:val="24"/>
                <w:szCs w:val="24"/>
              </w:rPr>
              <w:t>。以</w:t>
            </w:r>
            <w:r>
              <w:rPr>
                <w:rFonts w:hint="eastAsia"/>
                <w:sz w:val="24"/>
                <w:szCs w:val="24"/>
              </w:rPr>
              <w:t>宜兴</w:t>
            </w:r>
            <w:r>
              <w:rPr>
                <w:sz w:val="24"/>
                <w:szCs w:val="24"/>
              </w:rPr>
              <w:t>市公共资源交易中心网上诚信库信息(V7.0)为准，否则不得分。</w:t>
            </w:r>
          </w:p>
          <w:p w14:paraId="4DA216F4">
            <w:pPr>
              <w:widowControl/>
              <w:spacing w:line="360" w:lineRule="auto"/>
              <w:ind w:left="44" w:right="42" w:rightChars="20"/>
              <w:rPr>
                <w:sz w:val="24"/>
                <w:szCs w:val="24"/>
              </w:rPr>
            </w:pPr>
            <w:r>
              <w:rPr>
                <w:rFonts w:hint="eastAsia"/>
                <w:sz w:val="24"/>
                <w:szCs w:val="24"/>
              </w:rPr>
              <w:t xml:space="preserve">2、除项目负责人外，项目组人员配置（16分） </w:t>
            </w:r>
          </w:p>
          <w:p w14:paraId="2D4A3C43">
            <w:pPr>
              <w:widowControl/>
              <w:spacing w:line="360" w:lineRule="auto"/>
              <w:ind w:left="44" w:right="42" w:rightChars="20"/>
              <w:rPr>
                <w:sz w:val="24"/>
                <w:szCs w:val="24"/>
              </w:rPr>
            </w:pPr>
            <w:r>
              <w:rPr>
                <w:rFonts w:hint="eastAsia"/>
                <w:sz w:val="24"/>
                <w:szCs w:val="24"/>
              </w:rPr>
              <w:t>1）项目组人员专业配置合理性（2分）：根据本项目的特点和专业要求，项目应包括建筑、结构、电气、给排水、暖通等五个主要专业配置岗位人员（每个专业至少配1人）的得2分，少一人扣0.5分，扣完为止。上述人员不可兼任。</w:t>
            </w:r>
            <w:bookmarkStart w:id="0" w:name="_GoBack"/>
            <w:bookmarkEnd w:id="0"/>
          </w:p>
          <w:p w14:paraId="3A675DA5">
            <w:pPr>
              <w:widowControl/>
              <w:spacing w:line="360" w:lineRule="auto"/>
              <w:ind w:left="44" w:right="42" w:rightChars="20"/>
              <w:rPr>
                <w:sz w:val="24"/>
                <w:szCs w:val="24"/>
              </w:rPr>
            </w:pPr>
            <w:r>
              <w:rPr>
                <w:rFonts w:hint="eastAsia"/>
                <w:sz w:val="24"/>
                <w:szCs w:val="24"/>
              </w:rPr>
              <w:t>2）建筑专业</w:t>
            </w:r>
            <w:r>
              <w:rPr>
                <w:rFonts w:hint="eastAsia"/>
                <w:sz w:val="24"/>
                <w:szCs w:val="24"/>
                <w:lang w:val="en-US" w:eastAsia="zh-CN"/>
              </w:rPr>
              <w:t>人员</w:t>
            </w:r>
            <w:r>
              <w:rPr>
                <w:rFonts w:hint="eastAsia"/>
                <w:sz w:val="24"/>
                <w:szCs w:val="24"/>
              </w:rPr>
              <w:t>：具备国家一级注册建筑师资格的</w:t>
            </w:r>
            <w:r>
              <w:rPr>
                <w:rFonts w:hint="eastAsia"/>
                <w:sz w:val="24"/>
                <w:szCs w:val="24"/>
                <w:lang w:val="en-US" w:eastAsia="zh-CN"/>
              </w:rPr>
              <w:t>且</w:t>
            </w:r>
            <w:r>
              <w:rPr>
                <w:rFonts w:hint="eastAsia"/>
                <w:sz w:val="24"/>
                <w:szCs w:val="24"/>
              </w:rPr>
              <w:t>具备高级职称的，</w:t>
            </w:r>
            <w:r>
              <w:rPr>
                <w:rFonts w:hint="eastAsia"/>
                <w:sz w:val="24"/>
                <w:szCs w:val="24"/>
                <w:lang w:val="en-US" w:eastAsia="zh-CN"/>
              </w:rPr>
              <w:t>有一个</w:t>
            </w:r>
            <w:r>
              <w:rPr>
                <w:rFonts w:hint="eastAsia"/>
                <w:sz w:val="24"/>
                <w:szCs w:val="24"/>
              </w:rPr>
              <w:t xml:space="preserve">得1分；本项最高2分。 </w:t>
            </w:r>
          </w:p>
          <w:p w14:paraId="17E2E8FA">
            <w:pPr>
              <w:widowControl/>
              <w:spacing w:line="360" w:lineRule="auto"/>
              <w:ind w:left="44" w:right="42" w:rightChars="20"/>
              <w:rPr>
                <w:rFonts w:hint="eastAsia"/>
                <w:sz w:val="24"/>
                <w:szCs w:val="24"/>
              </w:rPr>
            </w:pPr>
            <w:r>
              <w:rPr>
                <w:rFonts w:hint="eastAsia"/>
                <w:sz w:val="24"/>
                <w:szCs w:val="24"/>
              </w:rPr>
              <w:t>3）结构专业负责人：具备国家一级注册结构师资格</w:t>
            </w:r>
            <w:r>
              <w:rPr>
                <w:rFonts w:hint="eastAsia"/>
                <w:sz w:val="24"/>
                <w:szCs w:val="24"/>
                <w:lang w:val="en-US" w:eastAsia="zh-CN"/>
              </w:rPr>
              <w:t>且</w:t>
            </w:r>
            <w:r>
              <w:rPr>
                <w:rFonts w:hint="eastAsia"/>
                <w:sz w:val="24"/>
                <w:szCs w:val="24"/>
              </w:rPr>
              <w:t>具备高级职称的，</w:t>
            </w:r>
            <w:r>
              <w:rPr>
                <w:rFonts w:hint="eastAsia"/>
                <w:sz w:val="24"/>
                <w:szCs w:val="24"/>
                <w:lang w:val="en-US" w:eastAsia="zh-CN"/>
              </w:rPr>
              <w:t>有一个</w:t>
            </w:r>
            <w:r>
              <w:rPr>
                <w:rFonts w:hint="eastAsia"/>
                <w:sz w:val="24"/>
                <w:szCs w:val="24"/>
              </w:rPr>
              <w:t>得1分；本项最高2分</w:t>
            </w:r>
          </w:p>
          <w:p w14:paraId="67789FC8">
            <w:pPr>
              <w:widowControl/>
              <w:spacing w:line="360" w:lineRule="auto"/>
              <w:ind w:left="44" w:right="42" w:rightChars="20"/>
              <w:rPr>
                <w:rFonts w:hint="eastAsia"/>
                <w:sz w:val="24"/>
                <w:szCs w:val="24"/>
              </w:rPr>
            </w:pPr>
            <w:r>
              <w:rPr>
                <w:rFonts w:hint="eastAsia"/>
                <w:sz w:val="24"/>
                <w:szCs w:val="24"/>
              </w:rPr>
              <w:t>4）电气专业</w:t>
            </w:r>
            <w:r>
              <w:rPr>
                <w:rFonts w:hint="eastAsia"/>
                <w:sz w:val="24"/>
                <w:szCs w:val="24"/>
                <w:lang w:val="en-US" w:eastAsia="zh-CN"/>
              </w:rPr>
              <w:t>人员</w:t>
            </w:r>
            <w:r>
              <w:rPr>
                <w:rFonts w:hint="eastAsia"/>
                <w:sz w:val="24"/>
                <w:szCs w:val="24"/>
              </w:rPr>
              <w:t>：具备国家注册电气工程师资格</w:t>
            </w:r>
            <w:r>
              <w:rPr>
                <w:rFonts w:hint="eastAsia"/>
                <w:sz w:val="24"/>
                <w:szCs w:val="24"/>
                <w:lang w:val="en-US" w:eastAsia="zh-CN"/>
              </w:rPr>
              <w:t>且</w:t>
            </w:r>
            <w:r>
              <w:rPr>
                <w:rFonts w:hint="eastAsia"/>
                <w:sz w:val="24"/>
                <w:szCs w:val="24"/>
              </w:rPr>
              <w:t>具备高级职称的，</w:t>
            </w:r>
            <w:r>
              <w:rPr>
                <w:rFonts w:hint="eastAsia"/>
                <w:sz w:val="24"/>
                <w:szCs w:val="24"/>
                <w:lang w:val="en-US" w:eastAsia="zh-CN"/>
              </w:rPr>
              <w:t>有一个</w:t>
            </w:r>
            <w:r>
              <w:rPr>
                <w:rFonts w:hint="eastAsia"/>
                <w:sz w:val="24"/>
                <w:szCs w:val="24"/>
              </w:rPr>
              <w:t>得1分；本项最高2分</w:t>
            </w:r>
          </w:p>
          <w:p w14:paraId="6DD2E73D">
            <w:pPr>
              <w:widowControl/>
              <w:spacing w:line="360" w:lineRule="auto"/>
              <w:ind w:left="44" w:right="42" w:rightChars="20"/>
              <w:rPr>
                <w:rFonts w:hint="eastAsia" w:eastAsia="宋体"/>
                <w:sz w:val="24"/>
                <w:szCs w:val="24"/>
                <w:lang w:eastAsia="zh-CN"/>
              </w:rPr>
            </w:pPr>
            <w:r>
              <w:rPr>
                <w:rFonts w:hint="eastAsia"/>
                <w:sz w:val="24"/>
                <w:szCs w:val="24"/>
                <w:lang w:val="en-US" w:eastAsia="zh-CN"/>
              </w:rPr>
              <w:t>5）</w:t>
            </w:r>
            <w:r>
              <w:rPr>
                <w:rFonts w:hint="eastAsia"/>
                <w:sz w:val="24"/>
                <w:szCs w:val="24"/>
              </w:rPr>
              <w:t>给排水专业</w:t>
            </w:r>
            <w:r>
              <w:rPr>
                <w:rFonts w:hint="eastAsia"/>
                <w:sz w:val="24"/>
                <w:szCs w:val="24"/>
                <w:lang w:val="en-US" w:eastAsia="zh-CN"/>
              </w:rPr>
              <w:t>人员</w:t>
            </w:r>
            <w:r>
              <w:rPr>
                <w:rFonts w:hint="eastAsia"/>
                <w:sz w:val="24"/>
                <w:szCs w:val="24"/>
              </w:rPr>
              <w:t>：具备国家注册公用设备工程师（给水排水）资格的</w:t>
            </w:r>
            <w:r>
              <w:rPr>
                <w:rFonts w:hint="eastAsia"/>
                <w:sz w:val="24"/>
                <w:szCs w:val="24"/>
                <w:lang w:val="en-US" w:eastAsia="zh-CN"/>
              </w:rPr>
              <w:t>且</w:t>
            </w:r>
            <w:r>
              <w:rPr>
                <w:rFonts w:hint="eastAsia"/>
                <w:sz w:val="24"/>
                <w:szCs w:val="24"/>
              </w:rPr>
              <w:t>具备高级职称的，</w:t>
            </w:r>
            <w:r>
              <w:rPr>
                <w:rFonts w:hint="eastAsia"/>
                <w:sz w:val="24"/>
                <w:szCs w:val="24"/>
                <w:lang w:val="en-US" w:eastAsia="zh-CN"/>
              </w:rPr>
              <w:t>有一个</w:t>
            </w:r>
            <w:r>
              <w:rPr>
                <w:rFonts w:hint="eastAsia"/>
                <w:sz w:val="24"/>
                <w:szCs w:val="24"/>
              </w:rPr>
              <w:t>得1分；本项最高</w:t>
            </w:r>
            <w:r>
              <w:rPr>
                <w:rFonts w:hint="eastAsia"/>
                <w:sz w:val="24"/>
                <w:szCs w:val="24"/>
                <w:lang w:eastAsia="zh-CN"/>
              </w:rPr>
              <w:t>（</w:t>
            </w:r>
            <w:r>
              <w:rPr>
                <w:rFonts w:hint="eastAsia"/>
                <w:sz w:val="24"/>
                <w:szCs w:val="24"/>
              </w:rPr>
              <w:t>2分</w:t>
            </w:r>
            <w:r>
              <w:rPr>
                <w:rFonts w:hint="eastAsia"/>
                <w:sz w:val="24"/>
                <w:szCs w:val="24"/>
                <w:lang w:eastAsia="zh-CN"/>
              </w:rPr>
              <w:t>）</w:t>
            </w:r>
          </w:p>
          <w:p w14:paraId="338F0672">
            <w:pPr>
              <w:widowControl/>
              <w:spacing w:line="360" w:lineRule="auto"/>
              <w:ind w:left="44" w:right="42" w:rightChars="20"/>
              <w:rPr>
                <w:rFonts w:hint="eastAsia"/>
                <w:sz w:val="24"/>
                <w:szCs w:val="24"/>
              </w:rPr>
            </w:pPr>
          </w:p>
          <w:p w14:paraId="2E189DFD">
            <w:pPr>
              <w:widowControl/>
              <w:numPr>
                <w:ilvl w:val="0"/>
                <w:numId w:val="1"/>
              </w:numPr>
              <w:spacing w:line="360" w:lineRule="auto"/>
              <w:ind w:left="44" w:right="42" w:rightChars="20"/>
              <w:rPr>
                <w:rFonts w:hint="eastAsia"/>
                <w:sz w:val="24"/>
                <w:szCs w:val="24"/>
              </w:rPr>
            </w:pPr>
            <w:r>
              <w:rPr>
                <w:rFonts w:hint="eastAsia"/>
                <w:sz w:val="24"/>
                <w:szCs w:val="24"/>
              </w:rPr>
              <w:t>暖通专业</w:t>
            </w:r>
            <w:r>
              <w:rPr>
                <w:rFonts w:hint="eastAsia"/>
                <w:sz w:val="24"/>
                <w:szCs w:val="24"/>
                <w:lang w:val="en-US" w:eastAsia="zh-CN"/>
              </w:rPr>
              <w:t>人员</w:t>
            </w:r>
            <w:r>
              <w:rPr>
                <w:rFonts w:hint="eastAsia"/>
                <w:sz w:val="24"/>
                <w:szCs w:val="24"/>
              </w:rPr>
              <w:t>：具备国家注册公用设备工程师（暖通空调）资格的</w:t>
            </w:r>
            <w:r>
              <w:rPr>
                <w:rFonts w:hint="eastAsia"/>
                <w:sz w:val="24"/>
                <w:szCs w:val="24"/>
                <w:lang w:val="en-US" w:eastAsia="zh-CN"/>
              </w:rPr>
              <w:t>且</w:t>
            </w:r>
            <w:r>
              <w:rPr>
                <w:rFonts w:hint="eastAsia"/>
                <w:sz w:val="24"/>
                <w:szCs w:val="24"/>
              </w:rPr>
              <w:t>具备高级职称的，</w:t>
            </w:r>
            <w:r>
              <w:rPr>
                <w:rFonts w:hint="eastAsia"/>
                <w:sz w:val="24"/>
                <w:szCs w:val="24"/>
                <w:lang w:val="en-US" w:eastAsia="zh-CN"/>
              </w:rPr>
              <w:t>有一个</w:t>
            </w:r>
            <w:r>
              <w:rPr>
                <w:rFonts w:hint="eastAsia"/>
                <w:sz w:val="24"/>
                <w:szCs w:val="24"/>
              </w:rPr>
              <w:t>得1分；本项最高</w:t>
            </w:r>
            <w:r>
              <w:rPr>
                <w:rFonts w:hint="eastAsia"/>
                <w:sz w:val="24"/>
                <w:szCs w:val="24"/>
                <w:lang w:eastAsia="zh-CN"/>
              </w:rPr>
              <w:t>（</w:t>
            </w:r>
            <w:r>
              <w:rPr>
                <w:rFonts w:hint="eastAsia"/>
                <w:sz w:val="24"/>
                <w:szCs w:val="24"/>
              </w:rPr>
              <w:t>2分</w:t>
            </w:r>
            <w:r>
              <w:rPr>
                <w:rFonts w:hint="eastAsia"/>
                <w:sz w:val="24"/>
                <w:szCs w:val="24"/>
                <w:lang w:eastAsia="zh-CN"/>
              </w:rPr>
              <w:t>）</w:t>
            </w:r>
          </w:p>
          <w:p w14:paraId="53374914">
            <w:pPr>
              <w:widowControl/>
              <w:numPr>
                <w:ilvl w:val="0"/>
                <w:numId w:val="1"/>
              </w:numPr>
              <w:spacing w:line="360" w:lineRule="auto"/>
              <w:ind w:left="44" w:leftChars="0" w:right="42" w:rightChars="20" w:firstLine="0" w:firstLineChars="0"/>
              <w:rPr>
                <w:bCs/>
                <w:sz w:val="24"/>
                <w:szCs w:val="24"/>
              </w:rPr>
            </w:pPr>
            <w:r>
              <w:rPr>
                <w:rFonts w:hint="eastAsia"/>
                <w:bCs/>
                <w:sz w:val="24"/>
                <w:szCs w:val="24"/>
              </w:rPr>
              <w:t>造价专业负责人:具备国家注册造价师资格的</w:t>
            </w:r>
            <w:r>
              <w:rPr>
                <w:rFonts w:hint="eastAsia"/>
                <w:sz w:val="24"/>
                <w:szCs w:val="24"/>
                <w:lang w:val="en-US" w:eastAsia="zh-CN"/>
              </w:rPr>
              <w:t>且</w:t>
            </w:r>
            <w:r>
              <w:rPr>
                <w:rFonts w:hint="eastAsia"/>
                <w:sz w:val="24"/>
                <w:szCs w:val="24"/>
              </w:rPr>
              <w:t>具备高级职称的，</w:t>
            </w:r>
            <w:r>
              <w:rPr>
                <w:rFonts w:hint="eastAsia"/>
                <w:sz w:val="24"/>
                <w:szCs w:val="24"/>
                <w:lang w:val="en-US" w:eastAsia="zh-CN"/>
              </w:rPr>
              <w:t>有一个</w:t>
            </w:r>
            <w:r>
              <w:rPr>
                <w:rFonts w:hint="eastAsia"/>
                <w:sz w:val="24"/>
                <w:szCs w:val="24"/>
              </w:rPr>
              <w:t>得1分；本项最高</w:t>
            </w:r>
            <w:r>
              <w:rPr>
                <w:rFonts w:hint="eastAsia"/>
                <w:sz w:val="24"/>
                <w:szCs w:val="24"/>
                <w:lang w:eastAsia="zh-CN"/>
              </w:rPr>
              <w:t>（</w:t>
            </w:r>
            <w:r>
              <w:rPr>
                <w:rFonts w:hint="eastAsia"/>
                <w:sz w:val="24"/>
                <w:szCs w:val="24"/>
              </w:rPr>
              <w:t>2分</w:t>
            </w:r>
            <w:r>
              <w:rPr>
                <w:rFonts w:hint="eastAsia"/>
                <w:sz w:val="24"/>
                <w:szCs w:val="24"/>
                <w:lang w:eastAsia="zh-CN"/>
              </w:rPr>
              <w:t>）</w:t>
            </w:r>
            <w:r>
              <w:rPr>
                <w:rFonts w:hint="eastAsia"/>
                <w:bCs/>
                <w:sz w:val="24"/>
                <w:szCs w:val="24"/>
              </w:rPr>
              <w:t xml:space="preserve">  </w:t>
            </w:r>
          </w:p>
          <w:p w14:paraId="613D5525">
            <w:pPr>
              <w:widowControl/>
              <w:numPr>
                <w:ilvl w:val="0"/>
                <w:numId w:val="1"/>
              </w:numPr>
              <w:spacing w:line="360" w:lineRule="auto"/>
              <w:ind w:left="44" w:leftChars="0" w:right="42" w:rightChars="20" w:firstLine="0" w:firstLineChars="0"/>
              <w:rPr>
                <w:rFonts w:hint="eastAsia"/>
                <w:bCs/>
                <w:sz w:val="24"/>
                <w:szCs w:val="24"/>
              </w:rPr>
            </w:pPr>
            <w:r>
              <w:rPr>
                <w:rFonts w:hint="eastAsia"/>
                <w:bCs/>
                <w:sz w:val="24"/>
                <w:szCs w:val="24"/>
              </w:rPr>
              <w:t>绿化景观专业负责人:具备园林绿化相关专业高级职称的</w:t>
            </w:r>
            <w:r>
              <w:rPr>
                <w:rFonts w:hint="eastAsia"/>
                <w:sz w:val="24"/>
                <w:szCs w:val="24"/>
                <w:lang w:val="en-US" w:eastAsia="zh-CN"/>
              </w:rPr>
              <w:t>有一个</w:t>
            </w:r>
            <w:r>
              <w:rPr>
                <w:rFonts w:hint="eastAsia"/>
                <w:sz w:val="24"/>
                <w:szCs w:val="24"/>
              </w:rPr>
              <w:t>得1分；本项最高</w:t>
            </w:r>
            <w:r>
              <w:rPr>
                <w:rFonts w:hint="eastAsia"/>
                <w:sz w:val="24"/>
                <w:szCs w:val="24"/>
                <w:lang w:eastAsia="zh-CN"/>
              </w:rPr>
              <w:t>（</w:t>
            </w:r>
            <w:r>
              <w:rPr>
                <w:rFonts w:hint="eastAsia"/>
                <w:sz w:val="24"/>
                <w:szCs w:val="24"/>
              </w:rPr>
              <w:t>2分</w:t>
            </w:r>
            <w:r>
              <w:rPr>
                <w:rFonts w:hint="eastAsia"/>
                <w:sz w:val="24"/>
                <w:szCs w:val="24"/>
                <w:lang w:eastAsia="zh-CN"/>
              </w:rPr>
              <w:t>）</w:t>
            </w:r>
          </w:p>
          <w:p w14:paraId="7E2E32C6">
            <w:pPr>
              <w:widowControl/>
              <w:numPr>
                <w:ilvl w:val="0"/>
                <w:numId w:val="0"/>
              </w:numPr>
              <w:spacing w:line="360" w:lineRule="auto"/>
              <w:ind w:left="44" w:leftChars="0" w:right="42" w:rightChars="20"/>
              <w:rPr>
                <w:rFonts w:hint="eastAsia"/>
                <w:bCs/>
                <w:sz w:val="24"/>
                <w:szCs w:val="24"/>
              </w:rPr>
            </w:pPr>
            <w:r>
              <w:rPr>
                <w:rFonts w:hint="eastAsia"/>
                <w:bCs/>
                <w:sz w:val="24"/>
                <w:szCs w:val="24"/>
              </w:rPr>
              <w:t>注：</w:t>
            </w:r>
          </w:p>
          <w:p w14:paraId="4E1FF7CE">
            <w:pPr>
              <w:widowControl/>
              <w:numPr>
                <w:ilvl w:val="0"/>
                <w:numId w:val="0"/>
              </w:numPr>
              <w:spacing w:line="360" w:lineRule="auto"/>
              <w:ind w:left="44" w:leftChars="0" w:right="42" w:rightChars="20"/>
              <w:rPr>
                <w:bCs/>
                <w:sz w:val="24"/>
                <w:szCs w:val="24"/>
              </w:rPr>
            </w:pPr>
            <w:r>
              <w:rPr>
                <w:rFonts w:hint="eastAsia"/>
                <w:bCs/>
                <w:sz w:val="24"/>
                <w:szCs w:val="24"/>
              </w:rPr>
              <w:t>①绿化景观专业负责人：职称证书专业须为园林绿化相关专业，园林绿化相关专业包括园林规划设计、园林植物、风景园林、园林绿化、园艺、城市规划、景观、植物（含植保、森保等） 、风景旅游、环境艺术等专业，提供职称证书。如职称证上未注明专业，则以毕业证书或学位证书或专业技术资格评审申报表上所注专业为准。</w:t>
            </w:r>
          </w:p>
          <w:p w14:paraId="14A9574F">
            <w:pPr>
              <w:widowControl/>
              <w:spacing w:line="360" w:lineRule="auto"/>
              <w:ind w:left="44" w:right="42" w:rightChars="20"/>
              <w:rPr>
                <w:bCs/>
                <w:sz w:val="24"/>
                <w:szCs w:val="24"/>
              </w:rPr>
            </w:pPr>
            <w:r>
              <w:rPr>
                <w:rFonts w:hint="eastAsia"/>
                <w:bCs/>
                <w:sz w:val="24"/>
                <w:szCs w:val="24"/>
              </w:rPr>
              <w:t>②上述团队成员均不可相互兼任；</w:t>
            </w:r>
          </w:p>
          <w:p w14:paraId="499F4C92">
            <w:pPr>
              <w:widowControl/>
              <w:spacing w:line="360" w:lineRule="auto"/>
              <w:ind w:left="44" w:right="42" w:rightChars="20"/>
              <w:rPr>
                <w:bCs/>
                <w:sz w:val="24"/>
                <w:szCs w:val="24"/>
              </w:rPr>
            </w:pPr>
            <w:r>
              <w:rPr>
                <w:rFonts w:hint="eastAsia"/>
                <w:bCs/>
                <w:sz w:val="24"/>
                <w:szCs w:val="24"/>
              </w:rPr>
              <w:t>③提供相关证书原件扫描件上传至投标文件中，同一人员在各专业中不可兼任。以上所有人员均须为投标人企业在职人员，提供与投标人企业签订的劳动合同及投标人为其缴纳的202</w:t>
            </w:r>
            <w:r>
              <w:rPr>
                <w:rFonts w:hint="eastAsia"/>
                <w:bCs/>
                <w:sz w:val="24"/>
                <w:szCs w:val="24"/>
                <w:lang w:val="en-US" w:eastAsia="zh-CN"/>
              </w:rPr>
              <w:t>5</w:t>
            </w:r>
            <w:r>
              <w:rPr>
                <w:rFonts w:hint="eastAsia"/>
                <w:bCs/>
                <w:sz w:val="24"/>
                <w:szCs w:val="24"/>
              </w:rPr>
              <w:t>年</w:t>
            </w:r>
            <w:r>
              <w:rPr>
                <w:rFonts w:hint="eastAsia"/>
                <w:bCs/>
                <w:sz w:val="24"/>
                <w:szCs w:val="24"/>
                <w:lang w:val="en-US" w:eastAsia="zh-CN"/>
              </w:rPr>
              <w:t>5</w:t>
            </w:r>
            <w:r>
              <w:rPr>
                <w:rFonts w:hint="eastAsia"/>
                <w:bCs/>
                <w:sz w:val="24"/>
                <w:szCs w:val="24"/>
              </w:rPr>
              <w:t>月～2025年</w:t>
            </w:r>
            <w:r>
              <w:rPr>
                <w:rFonts w:hint="eastAsia"/>
                <w:bCs/>
                <w:sz w:val="24"/>
                <w:szCs w:val="24"/>
                <w:lang w:val="en-US" w:eastAsia="zh-CN"/>
              </w:rPr>
              <w:t>8</w:t>
            </w:r>
            <w:r>
              <w:rPr>
                <w:rFonts w:hint="eastAsia"/>
                <w:bCs/>
                <w:sz w:val="24"/>
                <w:szCs w:val="24"/>
              </w:rPr>
              <w:t>月任意一个月的养老保险缴费证明材料（须具有社保中心章或社保中心参保缴费证明电子专用章）的原件扫描件上传到投标文件中，已退休人员提供退休证明、聘用证明相关材料，否则不得分。如投标人成立时间迟于要求开始的时间，则时间要求为投标人成立时间至截止时间。</w:t>
            </w:r>
          </w:p>
          <w:p w14:paraId="580B81C1">
            <w:pPr>
              <w:widowControl/>
              <w:spacing w:line="360" w:lineRule="auto"/>
              <w:ind w:left="44" w:right="42" w:rightChars="20"/>
              <w:rPr>
                <w:sz w:val="24"/>
                <w:szCs w:val="24"/>
              </w:rPr>
            </w:pPr>
            <w:r>
              <w:rPr>
                <w:rFonts w:hint="eastAsia"/>
                <w:bCs/>
                <w:sz w:val="24"/>
                <w:szCs w:val="24"/>
              </w:rPr>
              <w:t>④上述设计团队人员配置不作为强制要求，投标人可按照实际情况拟派设计团队人员；</w:t>
            </w:r>
          </w:p>
        </w:tc>
      </w:tr>
      <w:tr w14:paraId="54206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3" w:hRule="atLeast"/>
        </w:trPr>
        <w:tc>
          <w:tcPr>
            <w:tcW w:w="825" w:type="dxa"/>
            <w:vAlign w:val="center"/>
          </w:tcPr>
          <w:p w14:paraId="2DBAFAEB">
            <w:pPr>
              <w:pStyle w:val="10"/>
              <w:spacing w:before="78" w:line="360" w:lineRule="auto"/>
              <w:ind w:left="257"/>
              <w:jc w:val="left"/>
            </w:pPr>
            <w:r>
              <w:rPr>
                <w:rFonts w:hint="eastAsia"/>
              </w:rPr>
              <w:t>2.2</w:t>
            </w:r>
          </w:p>
        </w:tc>
        <w:tc>
          <w:tcPr>
            <w:tcW w:w="1869" w:type="dxa"/>
            <w:vAlign w:val="center"/>
          </w:tcPr>
          <w:p w14:paraId="7994B5CF">
            <w:pPr>
              <w:spacing w:before="96"/>
              <w:ind w:left="70"/>
              <w:jc w:val="center"/>
              <w:rPr>
                <w:rFonts w:ascii="宋体" w:hAnsi="宋体" w:cs="宋体"/>
                <w:sz w:val="24"/>
                <w:szCs w:val="24"/>
              </w:rPr>
            </w:pPr>
            <w:r>
              <w:rPr>
                <w:rFonts w:hint="eastAsia"/>
                <w:sz w:val="24"/>
                <w:szCs w:val="24"/>
              </w:rPr>
              <w:t>业绩</w:t>
            </w:r>
          </w:p>
        </w:tc>
        <w:tc>
          <w:tcPr>
            <w:tcW w:w="990" w:type="dxa"/>
            <w:vAlign w:val="center"/>
          </w:tcPr>
          <w:p w14:paraId="2896EB45">
            <w:pPr>
              <w:spacing w:before="96"/>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5996" w:type="dxa"/>
            <w:vAlign w:val="center"/>
          </w:tcPr>
          <w:p w14:paraId="60660087">
            <w:pPr>
              <w:widowControl/>
              <w:spacing w:line="360" w:lineRule="auto"/>
              <w:ind w:left="42" w:leftChars="20" w:right="42" w:rightChars="20"/>
              <w:rPr>
                <w:rFonts w:hint="eastAsia"/>
                <w:sz w:val="24"/>
                <w:szCs w:val="24"/>
              </w:rPr>
            </w:pPr>
            <w:r>
              <w:rPr>
                <w:rFonts w:hint="eastAsia"/>
                <w:sz w:val="24"/>
                <w:szCs w:val="24"/>
              </w:rPr>
              <w:t>近三年以来，投标人企业承担过</w:t>
            </w:r>
            <w:r>
              <w:rPr>
                <w:rFonts w:hint="eastAsia"/>
                <w:sz w:val="24"/>
                <w:szCs w:val="24"/>
                <w:lang w:val="en-US" w:eastAsia="zh-CN"/>
              </w:rPr>
              <w:t>类似工业建筑、</w:t>
            </w:r>
            <w:r>
              <w:rPr>
                <w:rFonts w:hint="eastAsia"/>
                <w:sz w:val="24"/>
                <w:szCs w:val="24"/>
              </w:rPr>
              <w:t>总建筑面积</w:t>
            </w:r>
            <w:r>
              <w:rPr>
                <w:rFonts w:hint="eastAsia"/>
                <w:sz w:val="24"/>
                <w:szCs w:val="24"/>
                <w:lang w:val="en-US" w:eastAsia="zh-CN"/>
              </w:rPr>
              <w:t>80000</w:t>
            </w:r>
            <w:r>
              <w:rPr>
                <w:rFonts w:hint="eastAsia"/>
                <w:sz w:val="24"/>
                <w:szCs w:val="24"/>
              </w:rPr>
              <w:t>平方米（含）以上房屋建筑设计业绩的，有一项得</w:t>
            </w:r>
            <w:r>
              <w:rPr>
                <w:rFonts w:hint="eastAsia"/>
                <w:sz w:val="24"/>
                <w:szCs w:val="24"/>
                <w:lang w:val="en-US" w:eastAsia="zh-CN"/>
              </w:rPr>
              <w:t>2</w:t>
            </w:r>
            <w:r>
              <w:rPr>
                <w:rFonts w:hint="eastAsia"/>
                <w:sz w:val="24"/>
                <w:szCs w:val="24"/>
              </w:rPr>
              <w:t>分，满分</w:t>
            </w:r>
            <w:r>
              <w:rPr>
                <w:rFonts w:hint="eastAsia"/>
                <w:sz w:val="24"/>
                <w:szCs w:val="24"/>
                <w:lang w:val="en-US" w:eastAsia="zh-CN"/>
              </w:rPr>
              <w:t>8</w:t>
            </w:r>
            <w:r>
              <w:rPr>
                <w:rFonts w:hint="eastAsia"/>
                <w:sz w:val="24"/>
                <w:szCs w:val="24"/>
              </w:rPr>
              <w:t>分。</w:t>
            </w:r>
          </w:p>
          <w:p w14:paraId="0DA55B14">
            <w:pPr>
              <w:widowControl/>
              <w:spacing w:line="360" w:lineRule="auto"/>
              <w:ind w:left="42" w:leftChars="20" w:right="42" w:rightChars="20"/>
              <w:rPr>
                <w:sz w:val="24"/>
                <w:szCs w:val="24"/>
              </w:rPr>
            </w:pPr>
            <w:r>
              <w:rPr>
                <w:rFonts w:hint="eastAsia"/>
                <w:sz w:val="24"/>
                <w:szCs w:val="24"/>
              </w:rPr>
              <w:t>业绩时间以设计合同签订时间至本项目投标截止日计算，业绩规模以设计合同中所注为准（如设计合同中未注明，提供该业绩的业主证明资料）。上述资料均以诚信库信息为准，否则不作为本项目有效业绩。</w:t>
            </w:r>
          </w:p>
        </w:tc>
      </w:tr>
      <w:tr w14:paraId="5D667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5" w:hRule="atLeast"/>
        </w:trPr>
        <w:tc>
          <w:tcPr>
            <w:tcW w:w="9680" w:type="dxa"/>
            <w:gridSpan w:val="4"/>
            <w:vAlign w:val="center"/>
          </w:tcPr>
          <w:p w14:paraId="70A1326D">
            <w:pPr>
              <w:autoSpaceDN w:val="0"/>
              <w:snapToGrid w:val="0"/>
              <w:spacing w:line="360" w:lineRule="auto"/>
              <w:jc w:val="left"/>
              <w:rPr>
                <w:rFonts w:ascii="宋体" w:hAnsi="宋体" w:cs="宋体"/>
                <w:kern w:val="0"/>
                <w:sz w:val="24"/>
                <w:szCs w:val="24"/>
              </w:rPr>
            </w:pPr>
            <w:r>
              <w:rPr>
                <w:rFonts w:hint="eastAsia" w:ascii="宋体" w:hAnsi="宋体" w:cs="宋体"/>
                <w:sz w:val="24"/>
                <w:szCs w:val="24"/>
              </w:rPr>
              <w:t>注：1、以上所提供的业绩、证件、证书、获奖文件等相关证明材料（如职称证书未体现专业的须同时提供职称评审表或毕业证书），应将原件扫描录入诚信库，编制投标文件时从诚信库获取相关信息。2、人员配置中的相关人员，须提供投标截止日期前6个月内本单位为其办理的任意一个月社保缴费清单，否则不得分。</w:t>
            </w:r>
          </w:p>
        </w:tc>
      </w:tr>
    </w:tbl>
    <w:p w14:paraId="6DBFA867">
      <w:pPr>
        <w:autoSpaceDN w:val="0"/>
        <w:snapToGrid w:val="0"/>
        <w:spacing w:line="360" w:lineRule="auto"/>
        <w:jc w:val="left"/>
        <w:rPr>
          <w:rFonts w:ascii="宋体" w:hAnsi="宋体" w:cs="宋体"/>
          <w:sz w:val="28"/>
          <w:szCs w:val="28"/>
          <w:highlight w:val="yellow"/>
        </w:rPr>
      </w:pPr>
    </w:p>
    <w:p w14:paraId="09FCAEA7">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3、第二阶段经济标评审：</w:t>
      </w:r>
    </w:p>
    <w:p w14:paraId="4CF30DCE">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(1)第二阶段进行经济文件评标（仅针对进入第二阶段的有效投标文件进行），技术标得分不带入第二阶段。</w:t>
      </w:r>
    </w:p>
    <w:p w14:paraId="50F244F9">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（2）以进入第二阶段入围单位的有效投标文件的总投标报价确定评标基准价：</w:t>
      </w:r>
    </w:p>
    <w:p w14:paraId="5C0B157B">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1、确定评标基准价，投标人有效投标文件的评标价比所有有效投标文件的评标价算术平均值下浮超过5%（不含5%）时，该评标价不参与评标基准价的计算，其余有效投标文件的评标价算术平均值为 A（评标基准价 =A。评标基准价计算结果保留小数点后2位（四舍五入），按评标价偏离评标基准价由小至大的次序推荐5名定标候选人（若少于5名则全部入围），偏离值相同时以第一阶段得分排名靠前的优先。</w:t>
      </w:r>
    </w:p>
    <w:p w14:paraId="17117D98">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说明：（1）评标委员会在评标报告上签字后，上述方法的评标基准价不因招投标当事人质疑、投诉、复议以及其它任何情况而改变, 但评标过程中的计算错误可作调整。</w:t>
      </w:r>
    </w:p>
    <w:p w14:paraId="70AFA21B">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（2）有效投标文件是指评标委员会初步评审合格的投标文件；评标价指经澄清、补正和修正算术错误的投标报价。不参与评标基准价计算的有效投标人均不影响其推荐为中标候选人。</w:t>
      </w:r>
    </w:p>
    <w:p w14:paraId="641A60D0">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三、定标候选人确定</w:t>
      </w:r>
    </w:p>
    <w:p w14:paraId="357CA16F">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经评标委员会评审，由评标委员会向招标人推荐5名定标候选人（若少于5名则 全部入围）。评标结果公示期间因投诉或质疑导致定标候选人少于5家时，定标候选 人数量不再递补。经评审合格的投标人不足三家时，由评标委员会决定是否推荐定标候选人，评标结果公示期间因投诉或质疑导致定标候选人少于三家不影响后续定标。 当评标委员会推荐的定标候选人不足三家时，定标委员会可以继续定标，也可以作出重新招标的决定。</w:t>
      </w:r>
    </w:p>
    <w:p w14:paraId="599E874D">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具体定标方案如下：定标方法采用直接票决法方式，定标委员会成员根据每项定标因素分别对各中标候选人进行独立评审后进行票决，并确定得票总数最多的为中标人。票决采取投票法，即各定标委员会成员对所有进入定标程序的投标人根据各定标因素择优排序进行投票，最优的得 5 票，其次得 4 票，以此类推（排名第 5 以后的得 0 票），按总票数高低确定中标候选人及排序。得票数相同且影响中标候选人确定的，可由定标委员会对得票数相同的单位进行再次票决确定排名。依此类推，并据此确定全部中标候选人排序。</w:t>
      </w:r>
    </w:p>
    <w:p w14:paraId="79A65A31">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定标因素：</w:t>
      </w:r>
    </w:p>
    <w:p w14:paraId="12285869">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1、定标委员会将根据以下5定标因素，对定标候选人进行比较，成员应当遵循择优的原则，依据招标文件规定，独立行使投票权。</w:t>
      </w:r>
    </w:p>
    <w:p w14:paraId="54C2705E">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（1）定标因素1：投标报价：以定标候选人的投标报价偏离评标基准价少的优于偏离评标基准价多的。</w:t>
      </w:r>
    </w:p>
    <w:p w14:paraId="0659FA7C">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（2）定标因素2：评标委员会评标报告以及提出的技术咨询建议；评标报告优势多的优于优势少的；缺点、风险少的优于多的；对技术、质量、安全、工期的控制能力高的优于低的。</w:t>
      </w:r>
    </w:p>
    <w:p w14:paraId="5F5A482D">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（3）定标因素3：拟派项目管理机构及人员配备情况：按投标人投标文件中配备的人员进行横向比较，项目机构成员专业配置齐全的优于不齐全的；项目机构成员配置合理的优于不合理的。</w:t>
      </w:r>
    </w:p>
    <w:p w14:paraId="1FF2DE58">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（4）定标因素4：方案完整、满足设计任务书要求的优于方案不完整、不满足设计任务书要求的。</w:t>
      </w:r>
    </w:p>
    <w:p w14:paraId="26AD5925">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5）定标因素5：建设行政主管部门做出的行政处罚和不良行为记录：投标人未在“信用中国”有建设行政主管部门做出的行政处罚和不良行为记录的企业优于在“信用中国”有建设行政主管部门做出的行政处罚和不良行为记录的。（以在定标当天通过“信用中国”网站www.creditchina.gov.cn 查询的投标企业相关信用记录为准。）</w:t>
      </w:r>
    </w:p>
    <w:p w14:paraId="245B0B2D">
      <w:pPr>
        <w:autoSpaceDN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四、中标候选人确定</w:t>
      </w:r>
    </w:p>
    <w:p w14:paraId="2DFAEBB1">
      <w:r>
        <w:rPr>
          <w:rFonts w:hint="eastAsia" w:ascii="宋体" w:hAnsi="宋体" w:cs="宋体"/>
          <w:sz w:val="28"/>
          <w:szCs w:val="28"/>
        </w:rPr>
        <w:t>由招标人组建的定标委员会，采用票决定标法在评标委员会推荐的入围单位中确定1-3中标候选人。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9363B"/>
    <w:multiLevelType w:val="singleLevel"/>
    <w:tmpl w:val="C119363B"/>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9F"/>
    <w:rsid w:val="003B0D43"/>
    <w:rsid w:val="004E30A1"/>
    <w:rsid w:val="005B1663"/>
    <w:rsid w:val="007A4D8C"/>
    <w:rsid w:val="00894485"/>
    <w:rsid w:val="00AB09B4"/>
    <w:rsid w:val="00B20D12"/>
    <w:rsid w:val="00B56B9F"/>
    <w:rsid w:val="00C80C1B"/>
    <w:rsid w:val="00D47926"/>
    <w:rsid w:val="00ED15EA"/>
    <w:rsid w:val="00F97996"/>
    <w:rsid w:val="03F93E09"/>
    <w:rsid w:val="05E24773"/>
    <w:rsid w:val="108F0C27"/>
    <w:rsid w:val="46EC14FA"/>
    <w:rsid w:val="4DB23169"/>
    <w:rsid w:val="537474E6"/>
    <w:rsid w:val="5682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1"/>
      <w:szCs w:val="21"/>
      <w:lang w:val="en-US" w:eastAsia="en-US" w:bidi="ar-SA"/>
    </w:rPr>
  </w:style>
  <w:style w:type="paragraph" w:customStyle="1" w:styleId="3">
    <w:name w:val="toc 11"/>
    <w:next w:val="1"/>
    <w:qFormat/>
    <w:uiPriority w:val="0"/>
    <w:pPr>
      <w:wordWrap w:val="0"/>
      <w:jc w:val="both"/>
    </w:pPr>
    <w:rPr>
      <w:rFonts w:ascii="Times New Roman" w:hAnsi="Times New Roman" w:eastAsia="宋体" w:cs="Times New Roman"/>
      <w:sz w:val="21"/>
      <w:lang w:val="en-US" w:eastAsia="zh-CN" w:bidi="ar-SA"/>
    </w:rPr>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customStyle="1" w:styleId="10">
    <w:name w:val="Table Text"/>
    <w:basedOn w:val="1"/>
    <w:semiHidden/>
    <w:qFormat/>
    <w:uiPriority w:val="0"/>
    <w:rPr>
      <w:rFonts w:ascii="宋体" w:hAnsi="宋体" w:cs="宋体"/>
      <w:sz w:val="24"/>
      <w:szCs w:val="24"/>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4001</Words>
  <Characters>4095</Characters>
  <Lines>32</Lines>
  <Paragraphs>9</Paragraphs>
  <TotalTime>26</TotalTime>
  <ScaleCrop>false</ScaleCrop>
  <LinksUpToDate>false</LinksUpToDate>
  <CharactersWithSpaces>4129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2025-03-31T01:18:00Z</dcterms:created>
  <dc:creator>陠ᐐꥰᐉ효ᐓㄔ함ᐓ</dc:creator>
  <cp:lastModifiedBy>duang</cp:lastModifiedBy>
  <dcterms:modified xsi:type="dcterms:W3CDTF">2025-09-17T07:34:57Z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12E234D9CC004E7AB7A74ED5AD911E6E_13</vt:lpwstr>
  </property>
  <property fmtid="{D5CDD505-2E9C-101B-9397-08002B2CF9AE}" pid="4" name="KSOTemplateDocerSaveRecord">
    <vt:lpwstr>eyJoZGlkIjoiYWQ0Mzg5YTFmNjE2Y2Q5MDVkNzRiY2NlNTMwZDg1ZDMiLCJ1c2VySWQiOiI2MzYyOTQxNjcifQ==</vt:lpwstr>
  </property>
</Properties>
</file>