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3A05D">
      <w:pPr>
        <w:spacing w:line="297" w:lineRule="auto"/>
        <w:rPr>
          <w:rFonts w:ascii="Arial"/>
          <w:sz w:val="21"/>
        </w:rPr>
      </w:pPr>
    </w:p>
    <w:p w14:paraId="6AB46999">
      <w:pPr>
        <w:spacing w:before="116" w:line="210" w:lineRule="auto"/>
        <w:ind w:left="476"/>
        <w:rPr>
          <w:rFonts w:ascii="方正黑体_GBK" w:hAnsi="方正黑体_GBK" w:eastAsia="方正黑体_GBK" w:cs="方正黑体_GBK"/>
          <w:sz w:val="31"/>
          <w:szCs w:val="31"/>
        </w:rPr>
      </w:pPr>
      <w:r>
        <w:rPr>
          <w:rFonts w:ascii="方正黑体_GBK" w:hAnsi="方正黑体_GBK" w:eastAsia="方正黑体_GBK" w:cs="方正黑体_GBK"/>
          <w:spacing w:val="-8"/>
          <w:sz w:val="32"/>
          <w:szCs w:val="32"/>
        </w:rPr>
        <w:t>附表</w:t>
      </w:r>
    </w:p>
    <w:p w14:paraId="4CA68103">
      <w:pPr>
        <w:spacing w:line="450" w:lineRule="auto"/>
        <w:rPr>
          <w:rFonts w:ascii="Arial"/>
          <w:sz w:val="21"/>
        </w:rPr>
      </w:pPr>
    </w:p>
    <w:p w14:paraId="4DB19DB1">
      <w:pPr>
        <w:spacing w:before="167" w:line="208" w:lineRule="auto"/>
        <w:ind w:left="309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4"/>
          <w:szCs w:val="44"/>
        </w:rPr>
        <w:t>民办学校规范办学三年行动重点任务清单</w:t>
      </w:r>
    </w:p>
    <w:p w14:paraId="60A93A9E"/>
    <w:p w14:paraId="6D269268"/>
    <w:tbl>
      <w:tblPr>
        <w:tblStyle w:val="5"/>
        <w:tblW w:w="140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8002"/>
        <w:gridCol w:w="3242"/>
        <w:gridCol w:w="1297"/>
      </w:tblGrid>
      <w:tr w14:paraId="52B28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92" w:type="dxa"/>
            <w:vAlign w:val="top"/>
          </w:tcPr>
          <w:p w14:paraId="21E4457D">
            <w:pPr>
              <w:spacing w:before="155" w:line="206" w:lineRule="auto"/>
              <w:ind w:left="278"/>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主要行动</w:t>
            </w:r>
          </w:p>
        </w:tc>
        <w:tc>
          <w:tcPr>
            <w:tcW w:w="8002" w:type="dxa"/>
            <w:vAlign w:val="top"/>
          </w:tcPr>
          <w:p w14:paraId="3E4A5792">
            <w:pPr>
              <w:spacing w:before="155" w:line="206" w:lineRule="auto"/>
              <w:ind w:left="3529"/>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重点任务</w:t>
            </w:r>
          </w:p>
        </w:tc>
        <w:tc>
          <w:tcPr>
            <w:tcW w:w="3242" w:type="dxa"/>
            <w:vAlign w:val="top"/>
          </w:tcPr>
          <w:p w14:paraId="743C288E">
            <w:pPr>
              <w:spacing w:before="147"/>
              <w:ind w:left="673"/>
              <w:rPr>
                <w:rFonts w:ascii="方正黑体_GBK" w:hAnsi="方正黑体_GBK" w:eastAsia="方正黑体_GBK" w:cs="方正黑体_GBK"/>
                <w:sz w:val="24"/>
                <w:szCs w:val="24"/>
              </w:rPr>
            </w:pPr>
            <w:r>
              <w:rPr>
                <w:rFonts w:ascii="方正黑体_GBK" w:hAnsi="方正黑体_GBK" w:eastAsia="方正黑体_GBK" w:cs="方正黑体_GBK"/>
                <w:spacing w:val="-1"/>
                <w:sz w:val="24"/>
                <w:szCs w:val="24"/>
              </w:rPr>
              <w:t>责任部门（单位）</w:t>
            </w:r>
          </w:p>
        </w:tc>
        <w:tc>
          <w:tcPr>
            <w:tcW w:w="1297" w:type="dxa"/>
            <w:vAlign w:val="top"/>
          </w:tcPr>
          <w:p w14:paraId="1C27DDB8">
            <w:pPr>
              <w:spacing w:before="155" w:line="206" w:lineRule="auto"/>
              <w:ind w:left="178"/>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完成年限</w:t>
            </w:r>
          </w:p>
        </w:tc>
      </w:tr>
      <w:tr w14:paraId="201F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92" w:type="dxa"/>
            <w:vMerge w:val="restart"/>
            <w:tcBorders>
              <w:bottom w:val="nil"/>
            </w:tcBorders>
            <w:vAlign w:val="top"/>
          </w:tcPr>
          <w:p w14:paraId="77B1E688">
            <w:pPr>
              <w:spacing w:line="293" w:lineRule="auto"/>
              <w:rPr>
                <w:rFonts w:ascii="Arial"/>
                <w:sz w:val="21"/>
              </w:rPr>
            </w:pPr>
          </w:p>
          <w:p w14:paraId="1E397884">
            <w:pPr>
              <w:spacing w:line="294" w:lineRule="auto"/>
              <w:rPr>
                <w:rFonts w:ascii="Arial"/>
                <w:sz w:val="21"/>
              </w:rPr>
            </w:pPr>
          </w:p>
          <w:p w14:paraId="6B4239ED">
            <w:pPr>
              <w:spacing w:line="294" w:lineRule="auto"/>
              <w:rPr>
                <w:rFonts w:ascii="Arial"/>
                <w:sz w:val="21"/>
              </w:rPr>
            </w:pPr>
          </w:p>
          <w:p w14:paraId="3B567C64">
            <w:pPr>
              <w:spacing w:line="294" w:lineRule="auto"/>
              <w:rPr>
                <w:rFonts w:ascii="Arial"/>
                <w:sz w:val="21"/>
              </w:rPr>
            </w:pPr>
          </w:p>
          <w:p w14:paraId="1FFE6303">
            <w:pPr>
              <w:pStyle w:val="6"/>
              <w:spacing w:before="90" w:line="237" w:lineRule="auto"/>
              <w:ind w:left="118" w:right="106" w:hanging="16"/>
              <w:jc w:val="both"/>
            </w:pPr>
            <w:r>
              <w:rPr>
                <w:spacing w:val="-2"/>
              </w:rPr>
              <w:t>（一）全面</w:t>
            </w:r>
            <w:r>
              <w:rPr>
                <w:spacing w:val="12"/>
              </w:rPr>
              <w:t>推进依法治</w:t>
            </w:r>
            <w:r>
              <w:rPr>
                <w:spacing w:val="-4"/>
              </w:rPr>
              <w:t>校行动</w:t>
            </w:r>
          </w:p>
        </w:tc>
        <w:tc>
          <w:tcPr>
            <w:tcW w:w="8002" w:type="dxa"/>
            <w:vAlign w:val="top"/>
          </w:tcPr>
          <w:p w14:paraId="47DB70E6">
            <w:pPr>
              <w:pStyle w:val="6"/>
              <w:spacing w:before="41" w:line="185" w:lineRule="auto"/>
              <w:ind w:left="355" w:right="102" w:hanging="223"/>
            </w:pPr>
            <w:r>
              <w:rPr>
                <w:rFonts w:ascii="Times New Roman" w:hAnsi="Times New Roman" w:eastAsia="Times New Roman" w:cs="Times New Roman"/>
                <w:spacing w:val="-1"/>
              </w:rPr>
              <w:t>1</w:t>
            </w:r>
            <w:r>
              <w:rPr>
                <w:spacing w:val="-1"/>
              </w:rPr>
              <w:t>．把党组织建设纳入民办学校章程，到</w:t>
            </w:r>
            <w:r>
              <w:rPr>
                <w:rFonts w:ascii="Times New Roman" w:hAnsi="Times New Roman" w:eastAsia="Times New Roman" w:cs="Times New Roman"/>
                <w:spacing w:val="-1"/>
              </w:rPr>
              <w:t>2025</w:t>
            </w:r>
            <w:r>
              <w:rPr>
                <w:spacing w:val="-1"/>
              </w:rPr>
              <w:t>年底，落实各级各类民办学校党的组织和党的工作全覆盖。</w:t>
            </w:r>
          </w:p>
        </w:tc>
        <w:tc>
          <w:tcPr>
            <w:tcW w:w="3242" w:type="dxa"/>
            <w:vMerge w:val="restart"/>
            <w:tcBorders>
              <w:bottom w:val="nil"/>
            </w:tcBorders>
            <w:vAlign w:val="top"/>
          </w:tcPr>
          <w:p w14:paraId="08BDACB6">
            <w:pPr>
              <w:spacing w:line="467" w:lineRule="auto"/>
              <w:rPr>
                <w:rFonts w:ascii="Arial"/>
                <w:sz w:val="21"/>
              </w:rPr>
            </w:pPr>
          </w:p>
          <w:p w14:paraId="40ADBC2E">
            <w:pPr>
              <w:pStyle w:val="6"/>
              <w:spacing w:before="89" w:line="207" w:lineRule="auto"/>
              <w:ind w:left="1285"/>
            </w:pPr>
            <w:r>
              <w:rPr>
                <w:spacing w:val="-9"/>
              </w:rPr>
              <w:t>党群科</w:t>
            </w:r>
          </w:p>
        </w:tc>
        <w:tc>
          <w:tcPr>
            <w:tcW w:w="1297" w:type="dxa"/>
            <w:vAlign w:val="top"/>
          </w:tcPr>
          <w:p w14:paraId="509E1F08">
            <w:pPr>
              <w:pStyle w:val="6"/>
              <w:spacing w:before="169" w:line="208" w:lineRule="auto"/>
              <w:ind w:left="260"/>
            </w:pPr>
            <w:r>
              <w:rPr>
                <w:rFonts w:ascii="Times New Roman" w:hAnsi="Times New Roman" w:eastAsia="Times New Roman" w:cs="Times New Roman"/>
                <w:spacing w:val="-2"/>
              </w:rPr>
              <w:t>2025</w:t>
            </w:r>
            <w:r>
              <w:rPr>
                <w:spacing w:val="-2"/>
              </w:rPr>
              <w:t>年</w:t>
            </w:r>
          </w:p>
        </w:tc>
      </w:tr>
      <w:tr w14:paraId="6BCA2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92" w:type="dxa"/>
            <w:vMerge w:val="continue"/>
            <w:tcBorders>
              <w:top w:val="nil"/>
              <w:bottom w:val="nil"/>
            </w:tcBorders>
            <w:vAlign w:val="top"/>
          </w:tcPr>
          <w:p w14:paraId="0F0FE2D4">
            <w:pPr>
              <w:rPr>
                <w:rFonts w:ascii="Arial"/>
                <w:sz w:val="21"/>
              </w:rPr>
            </w:pPr>
          </w:p>
        </w:tc>
        <w:tc>
          <w:tcPr>
            <w:tcW w:w="8002" w:type="dxa"/>
            <w:vAlign w:val="top"/>
          </w:tcPr>
          <w:p w14:paraId="3174C919">
            <w:pPr>
              <w:pStyle w:val="6"/>
              <w:spacing w:before="64" w:line="193" w:lineRule="auto"/>
              <w:ind w:left="109"/>
            </w:pPr>
            <w:r>
              <w:rPr>
                <w:rFonts w:ascii="Times New Roman" w:hAnsi="Times New Roman" w:eastAsia="Times New Roman" w:cs="Times New Roman"/>
                <w:spacing w:val="-3"/>
              </w:rPr>
              <w:t>2</w:t>
            </w:r>
            <w:r>
              <w:rPr>
                <w:spacing w:val="-3"/>
              </w:rPr>
              <w:t>．健全党组织参与决策和监督机制，充分发挥战斗堡垒作用。</w:t>
            </w:r>
          </w:p>
        </w:tc>
        <w:tc>
          <w:tcPr>
            <w:tcW w:w="3242" w:type="dxa"/>
            <w:vMerge w:val="continue"/>
            <w:tcBorders>
              <w:top w:val="nil"/>
              <w:bottom w:val="nil"/>
            </w:tcBorders>
            <w:vAlign w:val="top"/>
          </w:tcPr>
          <w:p w14:paraId="0CC38685">
            <w:pPr>
              <w:rPr>
                <w:rFonts w:ascii="Arial"/>
                <w:sz w:val="21"/>
              </w:rPr>
            </w:pPr>
          </w:p>
        </w:tc>
        <w:tc>
          <w:tcPr>
            <w:tcW w:w="1297" w:type="dxa"/>
            <w:vAlign w:val="top"/>
          </w:tcPr>
          <w:p w14:paraId="7CE9CF44">
            <w:pPr>
              <w:pStyle w:val="6"/>
              <w:spacing w:before="49" w:line="203" w:lineRule="auto"/>
              <w:ind w:left="178"/>
            </w:pPr>
            <w:r>
              <w:rPr>
                <w:spacing w:val="-4"/>
              </w:rPr>
              <w:t>持续推进</w:t>
            </w:r>
          </w:p>
        </w:tc>
      </w:tr>
      <w:tr w14:paraId="4347D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92" w:type="dxa"/>
            <w:vMerge w:val="continue"/>
            <w:tcBorders>
              <w:top w:val="nil"/>
              <w:bottom w:val="nil"/>
            </w:tcBorders>
            <w:vAlign w:val="top"/>
          </w:tcPr>
          <w:p w14:paraId="3B7FCC32">
            <w:pPr>
              <w:rPr>
                <w:rFonts w:ascii="Arial"/>
                <w:sz w:val="21"/>
              </w:rPr>
            </w:pPr>
          </w:p>
        </w:tc>
        <w:tc>
          <w:tcPr>
            <w:tcW w:w="8002" w:type="dxa"/>
            <w:vAlign w:val="top"/>
          </w:tcPr>
          <w:p w14:paraId="2423F1C0">
            <w:pPr>
              <w:pStyle w:val="6"/>
              <w:spacing w:before="66" w:line="192" w:lineRule="auto"/>
              <w:ind w:left="114"/>
            </w:pPr>
            <w:r>
              <w:rPr>
                <w:rFonts w:ascii="Times New Roman" w:hAnsi="Times New Roman" w:eastAsia="Times New Roman" w:cs="Times New Roman"/>
                <w:spacing w:val="-2"/>
              </w:rPr>
              <w:t>3</w:t>
            </w:r>
            <w:r>
              <w:rPr>
                <w:spacing w:val="-2"/>
              </w:rPr>
              <w:t>．加大党建工作在积分制管理和年度检查综合考核中的指标权重。</w:t>
            </w:r>
          </w:p>
        </w:tc>
        <w:tc>
          <w:tcPr>
            <w:tcW w:w="3242" w:type="dxa"/>
            <w:vMerge w:val="continue"/>
            <w:tcBorders>
              <w:top w:val="nil"/>
            </w:tcBorders>
            <w:vAlign w:val="top"/>
          </w:tcPr>
          <w:p w14:paraId="667789EA">
            <w:pPr>
              <w:rPr>
                <w:rFonts w:ascii="Arial"/>
                <w:sz w:val="21"/>
              </w:rPr>
            </w:pPr>
          </w:p>
        </w:tc>
        <w:tc>
          <w:tcPr>
            <w:tcW w:w="1297" w:type="dxa"/>
            <w:vAlign w:val="top"/>
          </w:tcPr>
          <w:p w14:paraId="1729262E">
            <w:pPr>
              <w:pStyle w:val="6"/>
              <w:spacing w:before="49" w:line="203" w:lineRule="auto"/>
              <w:ind w:left="260"/>
            </w:pPr>
            <w:r>
              <w:rPr>
                <w:rFonts w:ascii="Times New Roman" w:hAnsi="Times New Roman" w:eastAsia="Times New Roman" w:cs="Times New Roman"/>
                <w:spacing w:val="-2"/>
              </w:rPr>
              <w:t>2023</w:t>
            </w:r>
            <w:r>
              <w:rPr>
                <w:spacing w:val="-2"/>
              </w:rPr>
              <w:t>年</w:t>
            </w:r>
          </w:p>
        </w:tc>
      </w:tr>
      <w:tr w14:paraId="77336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92" w:type="dxa"/>
            <w:vMerge w:val="continue"/>
            <w:tcBorders>
              <w:top w:val="nil"/>
              <w:bottom w:val="nil"/>
            </w:tcBorders>
            <w:vAlign w:val="top"/>
          </w:tcPr>
          <w:p w14:paraId="54ECB254">
            <w:pPr>
              <w:rPr>
                <w:rFonts w:ascii="Arial"/>
                <w:sz w:val="21"/>
              </w:rPr>
            </w:pPr>
          </w:p>
        </w:tc>
        <w:tc>
          <w:tcPr>
            <w:tcW w:w="8002" w:type="dxa"/>
            <w:vAlign w:val="top"/>
          </w:tcPr>
          <w:p w14:paraId="0FCA10A7">
            <w:pPr>
              <w:pStyle w:val="6"/>
              <w:spacing w:before="66" w:line="192" w:lineRule="auto"/>
              <w:ind w:left="108"/>
            </w:pPr>
            <w:r>
              <w:rPr>
                <w:rFonts w:ascii="Times New Roman" w:hAnsi="Times New Roman" w:eastAsia="Times New Roman" w:cs="Times New Roman"/>
                <w:spacing w:val="-1"/>
              </w:rPr>
              <w:t>4</w:t>
            </w:r>
            <w:r>
              <w:rPr>
                <w:spacing w:val="-1"/>
              </w:rPr>
              <w:t>．严格规范办学许可证管理，重大事项变更报审批</w:t>
            </w:r>
            <w:r>
              <w:rPr>
                <w:spacing w:val="-2"/>
              </w:rPr>
              <w:t>机关核准或备案。</w:t>
            </w:r>
          </w:p>
        </w:tc>
        <w:tc>
          <w:tcPr>
            <w:tcW w:w="3242" w:type="dxa"/>
            <w:vMerge w:val="restart"/>
            <w:tcBorders>
              <w:bottom w:val="nil"/>
            </w:tcBorders>
            <w:vAlign w:val="top"/>
          </w:tcPr>
          <w:p w14:paraId="34E5715C">
            <w:pPr>
              <w:spacing w:line="287" w:lineRule="auto"/>
              <w:rPr>
                <w:rFonts w:ascii="Arial"/>
                <w:sz w:val="21"/>
              </w:rPr>
            </w:pPr>
          </w:p>
          <w:p w14:paraId="2510DA0E">
            <w:pPr>
              <w:pStyle w:val="6"/>
              <w:spacing w:before="89" w:line="207" w:lineRule="auto"/>
              <w:ind w:left="1281"/>
            </w:pPr>
            <w:r>
              <w:rPr>
                <w:spacing w:val="-7"/>
              </w:rPr>
              <w:t>职社科</w:t>
            </w:r>
          </w:p>
        </w:tc>
        <w:tc>
          <w:tcPr>
            <w:tcW w:w="1297" w:type="dxa"/>
            <w:vAlign w:val="top"/>
          </w:tcPr>
          <w:p w14:paraId="689BA803">
            <w:pPr>
              <w:pStyle w:val="6"/>
              <w:spacing w:before="49" w:line="203" w:lineRule="auto"/>
              <w:ind w:left="178"/>
            </w:pPr>
            <w:r>
              <w:rPr>
                <w:spacing w:val="-4"/>
              </w:rPr>
              <w:t>持续推进</w:t>
            </w:r>
          </w:p>
        </w:tc>
      </w:tr>
      <w:tr w14:paraId="48841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92" w:type="dxa"/>
            <w:vMerge w:val="continue"/>
            <w:tcBorders>
              <w:top w:val="nil"/>
              <w:bottom w:val="nil"/>
            </w:tcBorders>
            <w:vAlign w:val="top"/>
          </w:tcPr>
          <w:p w14:paraId="6D5079C4">
            <w:pPr>
              <w:rPr>
                <w:rFonts w:ascii="Arial"/>
                <w:sz w:val="21"/>
              </w:rPr>
            </w:pPr>
          </w:p>
        </w:tc>
        <w:tc>
          <w:tcPr>
            <w:tcW w:w="8002" w:type="dxa"/>
            <w:vAlign w:val="top"/>
          </w:tcPr>
          <w:p w14:paraId="7FC93ED8">
            <w:pPr>
              <w:pStyle w:val="6"/>
              <w:spacing w:before="35" w:line="187" w:lineRule="auto"/>
              <w:ind w:left="357" w:right="133" w:hanging="242"/>
            </w:pPr>
            <w:r>
              <w:rPr>
                <w:rFonts w:ascii="Times New Roman" w:hAnsi="Times New Roman" w:eastAsia="Times New Roman" w:cs="Times New Roman"/>
                <w:spacing w:val="-4"/>
              </w:rPr>
              <w:t>5</w:t>
            </w:r>
            <w:r>
              <w:rPr>
                <w:spacing w:val="-4"/>
              </w:rPr>
              <w:t>．建立健全民办学校董事会（理事会）、行政机构和监事会，</w:t>
            </w:r>
            <w:r>
              <w:rPr>
                <w:spacing w:val="-5"/>
              </w:rPr>
              <w:t>优化决策、</w:t>
            </w:r>
            <w:r>
              <w:rPr>
                <w:spacing w:val="-2"/>
              </w:rPr>
              <w:t>执行、监督相互独立并相互制约的法人治理结构。</w:t>
            </w:r>
          </w:p>
        </w:tc>
        <w:tc>
          <w:tcPr>
            <w:tcW w:w="3242" w:type="dxa"/>
            <w:vMerge w:val="continue"/>
            <w:tcBorders>
              <w:top w:val="nil"/>
            </w:tcBorders>
            <w:vAlign w:val="top"/>
          </w:tcPr>
          <w:p w14:paraId="7E4B65D5">
            <w:pPr>
              <w:rPr>
                <w:rFonts w:ascii="Arial"/>
                <w:sz w:val="21"/>
              </w:rPr>
            </w:pPr>
          </w:p>
        </w:tc>
        <w:tc>
          <w:tcPr>
            <w:tcW w:w="1297" w:type="dxa"/>
            <w:vAlign w:val="top"/>
          </w:tcPr>
          <w:p w14:paraId="05B3C64D">
            <w:pPr>
              <w:pStyle w:val="6"/>
              <w:spacing w:before="169" w:line="208" w:lineRule="auto"/>
              <w:ind w:left="178"/>
            </w:pPr>
            <w:r>
              <w:rPr>
                <w:spacing w:val="-4"/>
              </w:rPr>
              <w:t>持续推进</w:t>
            </w:r>
          </w:p>
        </w:tc>
      </w:tr>
      <w:tr w14:paraId="3A0CC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92" w:type="dxa"/>
            <w:vMerge w:val="continue"/>
            <w:tcBorders>
              <w:top w:val="nil"/>
              <w:bottom w:val="nil"/>
            </w:tcBorders>
            <w:vAlign w:val="top"/>
          </w:tcPr>
          <w:p w14:paraId="75BAE565">
            <w:pPr>
              <w:rPr>
                <w:rFonts w:ascii="Arial"/>
                <w:sz w:val="21"/>
              </w:rPr>
            </w:pPr>
          </w:p>
        </w:tc>
        <w:tc>
          <w:tcPr>
            <w:tcW w:w="8002" w:type="dxa"/>
            <w:vAlign w:val="top"/>
          </w:tcPr>
          <w:p w14:paraId="0EF46F0D">
            <w:pPr>
              <w:pStyle w:val="6"/>
              <w:spacing w:before="41" w:line="185" w:lineRule="auto"/>
              <w:ind w:left="354" w:right="97" w:hanging="240"/>
            </w:pPr>
            <w:r>
              <w:rPr>
                <w:rFonts w:ascii="Times New Roman" w:hAnsi="Times New Roman" w:eastAsia="Times New Roman" w:cs="Times New Roman"/>
                <w:spacing w:val="-9"/>
              </w:rPr>
              <w:t>6</w:t>
            </w:r>
            <w:r>
              <w:rPr>
                <w:spacing w:val="-9"/>
              </w:rPr>
              <w:t>．将规范民办义务教育发展情况纳入对镇、街道政府履行教育职责督导评价</w:t>
            </w:r>
            <w:r>
              <w:rPr>
                <w:spacing w:val="-8"/>
              </w:rPr>
              <w:t>体系，将民办义务教育学校纳入义务教育优质均衡发展督导评估范围。</w:t>
            </w:r>
          </w:p>
        </w:tc>
        <w:tc>
          <w:tcPr>
            <w:tcW w:w="3242" w:type="dxa"/>
            <w:vMerge w:val="restart"/>
            <w:tcBorders>
              <w:bottom w:val="nil"/>
            </w:tcBorders>
            <w:vAlign w:val="top"/>
          </w:tcPr>
          <w:p w14:paraId="48895620">
            <w:pPr>
              <w:spacing w:line="406" w:lineRule="auto"/>
              <w:rPr>
                <w:rFonts w:ascii="Arial"/>
                <w:sz w:val="21"/>
              </w:rPr>
            </w:pPr>
          </w:p>
          <w:p w14:paraId="00EBAE73">
            <w:pPr>
              <w:pStyle w:val="6"/>
              <w:spacing w:before="89" w:line="207" w:lineRule="auto"/>
              <w:ind w:left="1277"/>
            </w:pPr>
            <w:r>
              <w:rPr>
                <w:spacing w:val="-6"/>
              </w:rPr>
              <w:t>督导科</w:t>
            </w:r>
          </w:p>
        </w:tc>
        <w:tc>
          <w:tcPr>
            <w:tcW w:w="1297" w:type="dxa"/>
            <w:vAlign w:val="top"/>
          </w:tcPr>
          <w:p w14:paraId="59C72723">
            <w:pPr>
              <w:pStyle w:val="6"/>
              <w:spacing w:before="170" w:line="208" w:lineRule="auto"/>
              <w:ind w:left="178"/>
            </w:pPr>
            <w:r>
              <w:rPr>
                <w:spacing w:val="-4"/>
              </w:rPr>
              <w:t>持续推进</w:t>
            </w:r>
          </w:p>
        </w:tc>
      </w:tr>
      <w:tr w14:paraId="30B8C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92" w:type="dxa"/>
            <w:vMerge w:val="continue"/>
            <w:tcBorders>
              <w:top w:val="nil"/>
            </w:tcBorders>
            <w:vAlign w:val="top"/>
          </w:tcPr>
          <w:p w14:paraId="59936BF5">
            <w:pPr>
              <w:rPr>
                <w:rFonts w:ascii="Arial"/>
                <w:sz w:val="21"/>
              </w:rPr>
            </w:pPr>
          </w:p>
        </w:tc>
        <w:tc>
          <w:tcPr>
            <w:tcW w:w="8002" w:type="dxa"/>
            <w:vAlign w:val="top"/>
          </w:tcPr>
          <w:p w14:paraId="176274F5">
            <w:pPr>
              <w:pStyle w:val="6"/>
              <w:spacing w:before="36" w:line="187" w:lineRule="auto"/>
              <w:ind w:left="357" w:right="104" w:hanging="244"/>
            </w:pPr>
            <w:r>
              <w:rPr>
                <w:rFonts w:ascii="Times New Roman" w:hAnsi="Times New Roman" w:eastAsia="Times New Roman" w:cs="Times New Roman"/>
                <w:spacing w:val="-6"/>
              </w:rPr>
              <w:t>7</w:t>
            </w:r>
            <w:r>
              <w:rPr>
                <w:spacing w:val="-6"/>
              </w:rPr>
              <w:t>．加强督学责任区建设，建立全覆盖、常态化督导机制，确保责任督学挂</w:t>
            </w:r>
            <w:r>
              <w:rPr>
                <w:spacing w:val="-2"/>
              </w:rPr>
              <w:t>牌督导覆盖所有民办学校。</w:t>
            </w:r>
          </w:p>
        </w:tc>
        <w:tc>
          <w:tcPr>
            <w:tcW w:w="3242" w:type="dxa"/>
            <w:vMerge w:val="continue"/>
            <w:tcBorders>
              <w:top w:val="nil"/>
            </w:tcBorders>
            <w:vAlign w:val="top"/>
          </w:tcPr>
          <w:p w14:paraId="36337444">
            <w:pPr>
              <w:rPr>
                <w:rFonts w:ascii="Arial"/>
                <w:sz w:val="21"/>
              </w:rPr>
            </w:pPr>
          </w:p>
        </w:tc>
        <w:tc>
          <w:tcPr>
            <w:tcW w:w="1297" w:type="dxa"/>
            <w:vAlign w:val="top"/>
          </w:tcPr>
          <w:p w14:paraId="2ED2B785">
            <w:pPr>
              <w:pStyle w:val="6"/>
              <w:spacing w:before="170" w:line="208" w:lineRule="auto"/>
              <w:ind w:left="260"/>
            </w:pPr>
            <w:r>
              <w:rPr>
                <w:rFonts w:ascii="Times New Roman" w:hAnsi="Times New Roman" w:eastAsia="Times New Roman" w:cs="Times New Roman"/>
                <w:spacing w:val="-2"/>
              </w:rPr>
              <w:t>2023</w:t>
            </w:r>
            <w:r>
              <w:rPr>
                <w:spacing w:val="-2"/>
              </w:rPr>
              <w:t>年</w:t>
            </w:r>
          </w:p>
        </w:tc>
      </w:tr>
      <w:tr w14:paraId="3C0C5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492" w:type="dxa"/>
            <w:vMerge w:val="restart"/>
            <w:tcBorders>
              <w:bottom w:val="nil"/>
            </w:tcBorders>
            <w:vAlign w:val="top"/>
          </w:tcPr>
          <w:p w14:paraId="0C7347D8">
            <w:pPr>
              <w:spacing w:line="252" w:lineRule="auto"/>
              <w:rPr>
                <w:rFonts w:ascii="Arial"/>
                <w:sz w:val="21"/>
              </w:rPr>
            </w:pPr>
          </w:p>
          <w:p w14:paraId="33E98198">
            <w:pPr>
              <w:spacing w:line="253" w:lineRule="auto"/>
              <w:rPr>
                <w:rFonts w:ascii="Arial"/>
                <w:sz w:val="21"/>
              </w:rPr>
            </w:pPr>
          </w:p>
          <w:p w14:paraId="7A6DE398">
            <w:pPr>
              <w:pStyle w:val="6"/>
              <w:spacing w:before="89" w:line="236" w:lineRule="auto"/>
              <w:ind w:left="122" w:right="106" w:hanging="20"/>
              <w:jc w:val="both"/>
            </w:pPr>
            <w:r>
              <w:t>（二）全面</w:t>
            </w:r>
            <w:r>
              <w:rPr>
                <w:spacing w:val="11"/>
              </w:rPr>
              <w:t>改善办学条</w:t>
            </w:r>
            <w:r>
              <w:rPr>
                <w:spacing w:val="-6"/>
              </w:rPr>
              <w:t>件行动</w:t>
            </w:r>
          </w:p>
        </w:tc>
        <w:tc>
          <w:tcPr>
            <w:tcW w:w="8002" w:type="dxa"/>
            <w:vAlign w:val="top"/>
          </w:tcPr>
          <w:p w14:paraId="2BFA0D04">
            <w:pPr>
              <w:pStyle w:val="6"/>
              <w:spacing w:before="71" w:line="189" w:lineRule="auto"/>
              <w:ind w:left="118"/>
            </w:pPr>
            <w:r>
              <w:rPr>
                <w:rFonts w:ascii="Times New Roman" w:hAnsi="Times New Roman" w:eastAsia="Times New Roman" w:cs="Times New Roman"/>
                <w:spacing w:val="-2"/>
              </w:rPr>
              <w:t>8</w:t>
            </w:r>
            <w:r>
              <w:rPr>
                <w:spacing w:val="-2"/>
              </w:rPr>
              <w:t>．切实依法依规落实民办学校基本办学条件全面达标要求。</w:t>
            </w:r>
          </w:p>
        </w:tc>
        <w:tc>
          <w:tcPr>
            <w:tcW w:w="3242" w:type="dxa"/>
            <w:vAlign w:val="top"/>
          </w:tcPr>
          <w:p w14:paraId="6DB4F682">
            <w:pPr>
              <w:pStyle w:val="6"/>
              <w:spacing w:before="70" w:line="190" w:lineRule="auto"/>
              <w:ind w:left="1155"/>
            </w:pPr>
            <w:r>
              <w:rPr>
                <w:spacing w:val="-4"/>
              </w:rPr>
              <w:t>基后中心</w:t>
            </w:r>
          </w:p>
        </w:tc>
        <w:tc>
          <w:tcPr>
            <w:tcW w:w="1297" w:type="dxa"/>
            <w:vAlign w:val="top"/>
          </w:tcPr>
          <w:p w14:paraId="1BCF6F5A">
            <w:pPr>
              <w:pStyle w:val="6"/>
              <w:spacing w:before="53" w:line="201" w:lineRule="auto"/>
              <w:ind w:left="260"/>
            </w:pPr>
            <w:r>
              <w:rPr>
                <w:rFonts w:ascii="Times New Roman" w:hAnsi="Times New Roman" w:eastAsia="Times New Roman" w:cs="Times New Roman"/>
                <w:spacing w:val="-2"/>
              </w:rPr>
              <w:t>2025</w:t>
            </w:r>
            <w:r>
              <w:rPr>
                <w:spacing w:val="-2"/>
              </w:rPr>
              <w:t>年</w:t>
            </w:r>
          </w:p>
        </w:tc>
      </w:tr>
      <w:tr w14:paraId="191F0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492" w:type="dxa"/>
            <w:vMerge w:val="continue"/>
            <w:tcBorders>
              <w:top w:val="nil"/>
              <w:bottom w:val="nil"/>
            </w:tcBorders>
            <w:vAlign w:val="top"/>
          </w:tcPr>
          <w:p w14:paraId="1A5F7B75">
            <w:pPr>
              <w:rPr>
                <w:rFonts w:ascii="Arial"/>
                <w:sz w:val="21"/>
              </w:rPr>
            </w:pPr>
          </w:p>
        </w:tc>
        <w:tc>
          <w:tcPr>
            <w:tcW w:w="8002" w:type="dxa"/>
            <w:vAlign w:val="top"/>
          </w:tcPr>
          <w:p w14:paraId="303EBD90">
            <w:pPr>
              <w:pStyle w:val="6"/>
              <w:spacing w:before="38" w:line="191" w:lineRule="auto"/>
              <w:ind w:left="358" w:right="32" w:hanging="245"/>
            </w:pPr>
            <w:r>
              <w:rPr>
                <w:rFonts w:ascii="Times New Roman" w:hAnsi="Times New Roman" w:eastAsia="Times New Roman" w:cs="Times New Roman"/>
                <w:spacing w:val="-2"/>
              </w:rPr>
              <w:t>9</w:t>
            </w:r>
            <w:r>
              <w:rPr>
                <w:spacing w:val="-2"/>
              </w:rPr>
              <w:t>．优化民办学校安全管理组织机构设置，建立健全安全管理制度及突发事</w:t>
            </w:r>
            <w:r>
              <w:rPr>
                <w:spacing w:val="-5"/>
              </w:rPr>
              <w:t>件应急处置机制，深入开展安全教育、安全培训及应急疏散演练等工作，</w:t>
            </w:r>
            <w:r>
              <w:rPr>
                <w:spacing w:val="-2"/>
              </w:rPr>
              <w:t>确保安全管理工作符合相关要求。</w:t>
            </w:r>
          </w:p>
        </w:tc>
        <w:tc>
          <w:tcPr>
            <w:tcW w:w="3242" w:type="dxa"/>
            <w:vAlign w:val="top"/>
          </w:tcPr>
          <w:p w14:paraId="419449D5">
            <w:pPr>
              <w:spacing w:line="254" w:lineRule="auto"/>
              <w:rPr>
                <w:rFonts w:ascii="Arial"/>
                <w:sz w:val="21"/>
              </w:rPr>
            </w:pPr>
          </w:p>
          <w:p w14:paraId="4E2796F6">
            <w:pPr>
              <w:pStyle w:val="6"/>
              <w:spacing w:before="89" w:line="207" w:lineRule="auto"/>
              <w:ind w:left="1280"/>
            </w:pPr>
            <w:r>
              <w:rPr>
                <w:spacing w:val="-7"/>
              </w:rPr>
              <w:t>安监科</w:t>
            </w:r>
          </w:p>
        </w:tc>
        <w:tc>
          <w:tcPr>
            <w:tcW w:w="1297" w:type="dxa"/>
            <w:vAlign w:val="top"/>
          </w:tcPr>
          <w:p w14:paraId="3AD284A9">
            <w:pPr>
              <w:pStyle w:val="6"/>
              <w:spacing w:before="319" w:line="208" w:lineRule="auto"/>
              <w:ind w:left="260"/>
            </w:pPr>
            <w:r>
              <w:rPr>
                <w:rFonts w:ascii="Times New Roman" w:hAnsi="Times New Roman" w:eastAsia="Times New Roman" w:cs="Times New Roman"/>
                <w:spacing w:val="-2"/>
              </w:rPr>
              <w:t>2024</w:t>
            </w:r>
            <w:r>
              <w:rPr>
                <w:spacing w:val="-2"/>
              </w:rPr>
              <w:t>年</w:t>
            </w:r>
          </w:p>
        </w:tc>
      </w:tr>
      <w:tr w14:paraId="1F438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1492" w:type="dxa"/>
            <w:vMerge w:val="continue"/>
            <w:tcBorders>
              <w:top w:val="nil"/>
            </w:tcBorders>
            <w:vAlign w:val="top"/>
          </w:tcPr>
          <w:p w14:paraId="2F22206D">
            <w:pPr>
              <w:rPr>
                <w:rFonts w:ascii="Arial"/>
                <w:sz w:val="21"/>
              </w:rPr>
            </w:pPr>
          </w:p>
        </w:tc>
        <w:tc>
          <w:tcPr>
            <w:tcW w:w="8002" w:type="dxa"/>
            <w:vAlign w:val="top"/>
          </w:tcPr>
          <w:p w14:paraId="5E4337F4">
            <w:pPr>
              <w:pStyle w:val="6"/>
              <w:spacing w:before="41" w:line="191" w:lineRule="auto"/>
              <w:ind w:left="355" w:right="104" w:hanging="223"/>
            </w:pPr>
            <w:r>
              <w:rPr>
                <w:rFonts w:ascii="Times New Roman" w:hAnsi="Times New Roman" w:eastAsia="Times New Roman" w:cs="Times New Roman"/>
                <w:spacing w:val="-1"/>
              </w:rPr>
              <w:t>10</w:t>
            </w:r>
            <w:r>
              <w:rPr>
                <w:spacing w:val="-1"/>
              </w:rPr>
              <w:t>．严格落实民办学校教师资格制度，与教师签订劳动或聘用合同，</w:t>
            </w:r>
            <w:r>
              <w:rPr>
                <w:spacing w:val="-2"/>
              </w:rPr>
              <w:t>各地</w:t>
            </w:r>
            <w:r>
              <w:rPr>
                <w:spacing w:val="3"/>
              </w:rPr>
              <w:t>和公办学校不得向民办义务教育学校新增派或变相增派具有事业编制的</w:t>
            </w:r>
            <w:r>
              <w:rPr>
                <w:spacing w:val="-3"/>
              </w:rPr>
              <w:t>教职工。</w:t>
            </w:r>
          </w:p>
        </w:tc>
        <w:tc>
          <w:tcPr>
            <w:tcW w:w="3242" w:type="dxa"/>
            <w:vAlign w:val="top"/>
          </w:tcPr>
          <w:p w14:paraId="37A0B8B8">
            <w:pPr>
              <w:spacing w:line="251" w:lineRule="auto"/>
              <w:rPr>
                <w:rFonts w:ascii="Arial"/>
                <w:sz w:val="21"/>
              </w:rPr>
            </w:pPr>
          </w:p>
          <w:p w14:paraId="7C8599F5">
            <w:pPr>
              <w:pStyle w:val="6"/>
              <w:spacing w:before="90" w:line="209" w:lineRule="auto"/>
              <w:ind w:left="1276"/>
            </w:pPr>
            <w:r>
              <w:rPr>
                <w:spacing w:val="-6"/>
              </w:rPr>
              <w:t>人事科</w:t>
            </w:r>
          </w:p>
        </w:tc>
        <w:tc>
          <w:tcPr>
            <w:tcW w:w="1297" w:type="dxa"/>
            <w:vAlign w:val="top"/>
          </w:tcPr>
          <w:p w14:paraId="0453D2B9">
            <w:pPr>
              <w:pStyle w:val="6"/>
              <w:spacing w:before="322" w:line="208" w:lineRule="auto"/>
              <w:ind w:left="260"/>
            </w:pPr>
            <w:r>
              <w:rPr>
                <w:rFonts w:ascii="Times New Roman" w:hAnsi="Times New Roman" w:eastAsia="Times New Roman" w:cs="Times New Roman"/>
                <w:spacing w:val="-2"/>
              </w:rPr>
              <w:t>2025</w:t>
            </w:r>
            <w:r>
              <w:rPr>
                <w:spacing w:val="-2"/>
              </w:rPr>
              <w:t>年</w:t>
            </w:r>
          </w:p>
        </w:tc>
      </w:tr>
    </w:tbl>
    <w:p w14:paraId="44E7173A">
      <w:pPr>
        <w:rPr>
          <w:rFonts w:ascii="Arial"/>
          <w:sz w:val="21"/>
        </w:rPr>
      </w:pPr>
    </w:p>
    <w:p w14:paraId="4E241D3D">
      <w:pPr>
        <w:rPr>
          <w:rFonts w:ascii="Arial" w:hAnsi="Arial" w:eastAsia="Arial" w:cs="Arial"/>
          <w:sz w:val="21"/>
          <w:szCs w:val="21"/>
        </w:rPr>
        <w:sectPr>
          <w:footerReference r:id="rId5" w:type="default"/>
          <w:pgSz w:w="16839" w:h="11906"/>
          <w:pgMar w:top="1134" w:right="1134" w:bottom="1134" w:left="1134" w:header="0" w:footer="1134" w:gutter="0"/>
          <w:cols w:space="720" w:num="1"/>
        </w:sectPr>
      </w:pPr>
    </w:p>
    <w:p w14:paraId="36C9CA7C">
      <w:pPr>
        <w:spacing w:before="18"/>
      </w:pPr>
    </w:p>
    <w:p w14:paraId="7AC7EDCD">
      <w:pPr>
        <w:spacing w:before="18"/>
      </w:pPr>
    </w:p>
    <w:tbl>
      <w:tblPr>
        <w:tblStyle w:val="5"/>
        <w:tblW w:w="140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8002"/>
        <w:gridCol w:w="3242"/>
        <w:gridCol w:w="1297"/>
      </w:tblGrid>
      <w:tr w14:paraId="1B622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92" w:type="dxa"/>
            <w:vAlign w:val="top"/>
          </w:tcPr>
          <w:p w14:paraId="6AE21F9E">
            <w:pPr>
              <w:spacing w:before="155" w:line="206" w:lineRule="auto"/>
              <w:ind w:left="278"/>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主要行动</w:t>
            </w:r>
          </w:p>
        </w:tc>
        <w:tc>
          <w:tcPr>
            <w:tcW w:w="8002" w:type="dxa"/>
            <w:vAlign w:val="top"/>
          </w:tcPr>
          <w:p w14:paraId="751B8A88">
            <w:pPr>
              <w:spacing w:before="155" w:line="206" w:lineRule="auto"/>
              <w:ind w:left="3529"/>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重点任务</w:t>
            </w:r>
          </w:p>
        </w:tc>
        <w:tc>
          <w:tcPr>
            <w:tcW w:w="3242" w:type="dxa"/>
            <w:vAlign w:val="top"/>
          </w:tcPr>
          <w:p w14:paraId="7BFF67FA">
            <w:pPr>
              <w:spacing w:before="147"/>
              <w:ind w:left="673"/>
              <w:rPr>
                <w:rFonts w:ascii="方正黑体_GBK" w:hAnsi="方正黑体_GBK" w:eastAsia="方正黑体_GBK" w:cs="方正黑体_GBK"/>
                <w:sz w:val="24"/>
                <w:szCs w:val="24"/>
              </w:rPr>
            </w:pPr>
            <w:r>
              <w:rPr>
                <w:rFonts w:ascii="方正黑体_GBK" w:hAnsi="方正黑体_GBK" w:eastAsia="方正黑体_GBK" w:cs="方正黑体_GBK"/>
                <w:spacing w:val="-1"/>
                <w:sz w:val="24"/>
                <w:szCs w:val="24"/>
              </w:rPr>
              <w:t>责任部门（单位）</w:t>
            </w:r>
          </w:p>
        </w:tc>
        <w:tc>
          <w:tcPr>
            <w:tcW w:w="1297" w:type="dxa"/>
            <w:vAlign w:val="top"/>
          </w:tcPr>
          <w:p w14:paraId="70C54327">
            <w:pPr>
              <w:spacing w:before="155" w:line="206" w:lineRule="auto"/>
              <w:ind w:left="178"/>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完成年限</w:t>
            </w:r>
          </w:p>
        </w:tc>
      </w:tr>
      <w:tr w14:paraId="47CFF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92" w:type="dxa"/>
            <w:vAlign w:val="top"/>
          </w:tcPr>
          <w:p w14:paraId="5D7055AC">
            <w:pPr>
              <w:rPr>
                <w:rFonts w:ascii="Arial"/>
                <w:sz w:val="21"/>
              </w:rPr>
            </w:pPr>
          </w:p>
        </w:tc>
        <w:tc>
          <w:tcPr>
            <w:tcW w:w="8002" w:type="dxa"/>
            <w:vAlign w:val="top"/>
          </w:tcPr>
          <w:p w14:paraId="4CCFA9A5">
            <w:pPr>
              <w:pStyle w:val="6"/>
              <w:spacing w:before="35" w:line="187" w:lineRule="auto"/>
              <w:ind w:left="364" w:right="104" w:hanging="232"/>
            </w:pPr>
            <w:r>
              <w:rPr>
                <w:rFonts w:ascii="Times New Roman" w:hAnsi="Times New Roman" w:eastAsia="Times New Roman" w:cs="Times New Roman"/>
                <w:spacing w:val="-3"/>
              </w:rPr>
              <w:t>11</w:t>
            </w:r>
            <w:r>
              <w:rPr>
                <w:spacing w:val="-3"/>
              </w:rPr>
              <w:t>．加强民办学校教师培训，民办义务教育教师参加市（县）区级以上骨</w:t>
            </w:r>
            <w:r>
              <w:rPr>
                <w:spacing w:val="-2"/>
              </w:rPr>
              <w:t>干教师培训比例不低于</w:t>
            </w:r>
            <w:r>
              <w:rPr>
                <w:rFonts w:ascii="Times New Roman" w:hAnsi="Times New Roman" w:eastAsia="Times New Roman" w:cs="Times New Roman"/>
                <w:spacing w:val="-2"/>
              </w:rPr>
              <w:t>30%</w:t>
            </w:r>
            <w:r>
              <w:rPr>
                <w:spacing w:val="-2"/>
              </w:rPr>
              <w:t>。</w:t>
            </w:r>
          </w:p>
        </w:tc>
        <w:tc>
          <w:tcPr>
            <w:tcW w:w="3242" w:type="dxa"/>
            <w:vAlign w:val="top"/>
          </w:tcPr>
          <w:p w14:paraId="301F39BA">
            <w:pPr>
              <w:rPr>
                <w:rFonts w:ascii="Arial"/>
                <w:sz w:val="21"/>
              </w:rPr>
            </w:pPr>
          </w:p>
        </w:tc>
        <w:tc>
          <w:tcPr>
            <w:tcW w:w="1297" w:type="dxa"/>
            <w:vAlign w:val="top"/>
          </w:tcPr>
          <w:p w14:paraId="009E824D">
            <w:pPr>
              <w:pStyle w:val="6"/>
              <w:spacing w:before="169" w:line="208" w:lineRule="auto"/>
              <w:ind w:left="260"/>
            </w:pPr>
            <w:r>
              <w:rPr>
                <w:rFonts w:ascii="Times New Roman" w:hAnsi="Times New Roman" w:eastAsia="Times New Roman" w:cs="Times New Roman"/>
                <w:spacing w:val="-2"/>
              </w:rPr>
              <w:t>2025</w:t>
            </w:r>
            <w:r>
              <w:rPr>
                <w:spacing w:val="-2"/>
              </w:rPr>
              <w:t>年</w:t>
            </w:r>
          </w:p>
        </w:tc>
      </w:tr>
      <w:tr w14:paraId="3C99B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92" w:type="dxa"/>
            <w:vMerge w:val="restart"/>
            <w:tcBorders>
              <w:bottom w:val="nil"/>
            </w:tcBorders>
            <w:vAlign w:val="top"/>
          </w:tcPr>
          <w:p w14:paraId="722D3F3A">
            <w:pPr>
              <w:spacing w:line="278" w:lineRule="auto"/>
              <w:rPr>
                <w:rFonts w:ascii="Arial"/>
                <w:sz w:val="21"/>
              </w:rPr>
            </w:pPr>
          </w:p>
          <w:p w14:paraId="1F6E5A50">
            <w:pPr>
              <w:spacing w:line="278" w:lineRule="auto"/>
              <w:rPr>
                <w:rFonts w:ascii="Arial"/>
                <w:sz w:val="21"/>
              </w:rPr>
            </w:pPr>
          </w:p>
          <w:p w14:paraId="1052F882">
            <w:pPr>
              <w:spacing w:line="279" w:lineRule="auto"/>
              <w:rPr>
                <w:rFonts w:ascii="Arial"/>
                <w:sz w:val="21"/>
              </w:rPr>
            </w:pPr>
          </w:p>
          <w:p w14:paraId="50F0F160">
            <w:pPr>
              <w:spacing w:line="279" w:lineRule="auto"/>
              <w:rPr>
                <w:rFonts w:ascii="Arial"/>
                <w:sz w:val="21"/>
              </w:rPr>
            </w:pPr>
          </w:p>
          <w:p w14:paraId="153A1DC7">
            <w:pPr>
              <w:pStyle w:val="6"/>
              <w:spacing w:before="90" w:line="236" w:lineRule="auto"/>
              <w:ind w:left="125" w:right="106" w:hanging="23"/>
              <w:jc w:val="both"/>
            </w:pPr>
            <w:r>
              <w:rPr>
                <w:spacing w:val="-2"/>
              </w:rPr>
              <w:t>（三）全面</w:t>
            </w:r>
            <w:r>
              <w:rPr>
                <w:spacing w:val="10"/>
              </w:rPr>
              <w:t>规范教育教</w:t>
            </w:r>
            <w:r>
              <w:rPr>
                <w:spacing w:val="-6"/>
              </w:rPr>
              <w:t>学行动</w:t>
            </w:r>
          </w:p>
        </w:tc>
        <w:tc>
          <w:tcPr>
            <w:tcW w:w="8002" w:type="dxa"/>
            <w:vAlign w:val="top"/>
          </w:tcPr>
          <w:p w14:paraId="38794E3E">
            <w:pPr>
              <w:pStyle w:val="6"/>
              <w:spacing w:before="44" w:line="184" w:lineRule="auto"/>
              <w:ind w:left="356" w:right="104" w:hanging="224"/>
            </w:pPr>
            <w:r>
              <w:rPr>
                <w:rFonts w:ascii="Times New Roman" w:hAnsi="Times New Roman" w:eastAsia="Times New Roman" w:cs="Times New Roman"/>
                <w:spacing w:val="-4"/>
              </w:rPr>
              <w:t>12</w:t>
            </w:r>
            <w:r>
              <w:rPr>
                <w:spacing w:val="-4"/>
              </w:rPr>
              <w:t>．配齐配强思政德育工作者、班主任以及思想政治、道德与法治、心理</w:t>
            </w:r>
            <w:r>
              <w:rPr>
                <w:spacing w:val="-3"/>
              </w:rPr>
              <w:t>健康教育、校医等教师等工作力量。</w:t>
            </w:r>
          </w:p>
        </w:tc>
        <w:tc>
          <w:tcPr>
            <w:tcW w:w="3242" w:type="dxa"/>
            <w:vAlign w:val="top"/>
          </w:tcPr>
          <w:p w14:paraId="3038C778">
            <w:pPr>
              <w:pStyle w:val="6"/>
              <w:spacing w:before="192" w:line="207" w:lineRule="auto"/>
              <w:ind w:left="1272"/>
            </w:pPr>
            <w:r>
              <w:rPr>
                <w:spacing w:val="-5"/>
              </w:rPr>
              <w:t>德艺科</w:t>
            </w:r>
          </w:p>
        </w:tc>
        <w:tc>
          <w:tcPr>
            <w:tcW w:w="1297" w:type="dxa"/>
            <w:vAlign w:val="top"/>
          </w:tcPr>
          <w:p w14:paraId="1AB4CAA6">
            <w:pPr>
              <w:pStyle w:val="6"/>
              <w:spacing w:before="169" w:line="208" w:lineRule="auto"/>
              <w:ind w:left="260"/>
            </w:pPr>
            <w:r>
              <w:rPr>
                <w:rFonts w:ascii="Times New Roman" w:hAnsi="Times New Roman" w:eastAsia="Times New Roman" w:cs="Times New Roman"/>
                <w:spacing w:val="-2"/>
              </w:rPr>
              <w:t>2023</w:t>
            </w:r>
            <w:r>
              <w:rPr>
                <w:spacing w:val="-2"/>
              </w:rPr>
              <w:t>年</w:t>
            </w:r>
          </w:p>
        </w:tc>
      </w:tr>
      <w:tr w14:paraId="452A7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92" w:type="dxa"/>
            <w:vMerge w:val="continue"/>
            <w:tcBorders>
              <w:top w:val="nil"/>
              <w:bottom w:val="nil"/>
            </w:tcBorders>
            <w:vAlign w:val="top"/>
          </w:tcPr>
          <w:p w14:paraId="5493DAE0">
            <w:pPr>
              <w:rPr>
                <w:rFonts w:ascii="Arial"/>
                <w:sz w:val="21"/>
              </w:rPr>
            </w:pPr>
          </w:p>
        </w:tc>
        <w:tc>
          <w:tcPr>
            <w:tcW w:w="8002" w:type="dxa"/>
            <w:vAlign w:val="top"/>
          </w:tcPr>
          <w:p w14:paraId="5D9F20CC">
            <w:pPr>
              <w:pStyle w:val="6"/>
              <w:spacing w:before="41" w:line="185" w:lineRule="auto"/>
              <w:ind w:left="371" w:right="16" w:hanging="239"/>
            </w:pPr>
            <w:r>
              <w:rPr>
                <w:rFonts w:ascii="Times New Roman" w:hAnsi="Times New Roman" w:eastAsia="Times New Roman" w:cs="Times New Roman"/>
                <w:spacing w:val="-4"/>
              </w:rPr>
              <w:t>13</w:t>
            </w:r>
            <w:r>
              <w:rPr>
                <w:spacing w:val="-4"/>
              </w:rPr>
              <w:t>．严格落实招生考试制度，民办义务教育学校招生纳入审批</w:t>
            </w:r>
            <w:r>
              <w:rPr>
                <w:spacing w:val="-5"/>
              </w:rPr>
              <w:t>地统一管理，</w:t>
            </w:r>
            <w:r>
              <w:rPr>
                <w:spacing w:val="-4"/>
              </w:rPr>
              <w:t>与公办学校同步招生，对报名人数超过招生计划的，实行电脑随机录取。</w:t>
            </w:r>
          </w:p>
        </w:tc>
        <w:tc>
          <w:tcPr>
            <w:tcW w:w="3242" w:type="dxa"/>
            <w:vMerge w:val="restart"/>
            <w:tcBorders>
              <w:bottom w:val="nil"/>
            </w:tcBorders>
            <w:vAlign w:val="top"/>
          </w:tcPr>
          <w:p w14:paraId="4DB80797">
            <w:pPr>
              <w:spacing w:line="298" w:lineRule="auto"/>
              <w:rPr>
                <w:rFonts w:ascii="Arial"/>
                <w:sz w:val="21"/>
              </w:rPr>
            </w:pPr>
          </w:p>
          <w:p w14:paraId="7845F337">
            <w:pPr>
              <w:spacing w:line="298" w:lineRule="auto"/>
              <w:rPr>
                <w:rFonts w:ascii="Arial"/>
                <w:sz w:val="21"/>
              </w:rPr>
            </w:pPr>
          </w:p>
          <w:p w14:paraId="1D2784A6">
            <w:pPr>
              <w:spacing w:line="299" w:lineRule="auto"/>
              <w:rPr>
                <w:rFonts w:ascii="Arial"/>
                <w:sz w:val="21"/>
              </w:rPr>
            </w:pPr>
          </w:p>
          <w:p w14:paraId="1CF71AF6">
            <w:pPr>
              <w:spacing w:line="299" w:lineRule="auto"/>
              <w:rPr>
                <w:rFonts w:ascii="Arial"/>
                <w:sz w:val="21"/>
              </w:rPr>
            </w:pPr>
          </w:p>
          <w:p w14:paraId="5BA2231C">
            <w:pPr>
              <w:pStyle w:val="6"/>
              <w:spacing w:before="89" w:line="208" w:lineRule="auto"/>
              <w:ind w:left="1279"/>
            </w:pPr>
            <w:r>
              <w:rPr>
                <w:spacing w:val="-7"/>
              </w:rPr>
              <w:t>普教科</w:t>
            </w:r>
          </w:p>
        </w:tc>
        <w:tc>
          <w:tcPr>
            <w:tcW w:w="1297" w:type="dxa"/>
            <w:vAlign w:val="top"/>
          </w:tcPr>
          <w:p w14:paraId="3F6A6211">
            <w:pPr>
              <w:pStyle w:val="6"/>
              <w:spacing w:before="170" w:line="208" w:lineRule="auto"/>
              <w:ind w:left="178"/>
            </w:pPr>
            <w:r>
              <w:rPr>
                <w:spacing w:val="-4"/>
              </w:rPr>
              <w:t>持续推进</w:t>
            </w:r>
          </w:p>
        </w:tc>
      </w:tr>
      <w:tr w14:paraId="113F4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92" w:type="dxa"/>
            <w:vMerge w:val="continue"/>
            <w:tcBorders>
              <w:top w:val="nil"/>
              <w:bottom w:val="nil"/>
            </w:tcBorders>
            <w:vAlign w:val="top"/>
          </w:tcPr>
          <w:p w14:paraId="461640CC">
            <w:pPr>
              <w:rPr>
                <w:rFonts w:ascii="Arial"/>
                <w:sz w:val="21"/>
              </w:rPr>
            </w:pPr>
          </w:p>
        </w:tc>
        <w:tc>
          <w:tcPr>
            <w:tcW w:w="8002" w:type="dxa"/>
            <w:vAlign w:val="top"/>
          </w:tcPr>
          <w:p w14:paraId="21B92EFE">
            <w:pPr>
              <w:pStyle w:val="6"/>
              <w:spacing w:before="42" w:line="185" w:lineRule="auto"/>
              <w:ind w:left="357" w:right="104" w:hanging="225"/>
            </w:pPr>
            <w:r>
              <w:rPr>
                <w:rFonts w:ascii="Times New Roman" w:hAnsi="Times New Roman" w:eastAsia="Times New Roman" w:cs="Times New Roman"/>
                <w:spacing w:val="-2"/>
              </w:rPr>
              <w:t>14</w:t>
            </w:r>
            <w:r>
              <w:rPr>
                <w:spacing w:val="-2"/>
              </w:rPr>
              <w:t>．认真开展民办学校“三违”整治活动，每年对所属民办学校开展一次招生宣传专项治理工作。</w:t>
            </w:r>
          </w:p>
        </w:tc>
        <w:tc>
          <w:tcPr>
            <w:tcW w:w="3242" w:type="dxa"/>
            <w:vMerge w:val="continue"/>
            <w:tcBorders>
              <w:top w:val="nil"/>
              <w:bottom w:val="nil"/>
            </w:tcBorders>
            <w:vAlign w:val="top"/>
          </w:tcPr>
          <w:p w14:paraId="7B464BDC">
            <w:pPr>
              <w:rPr>
                <w:rFonts w:ascii="Arial"/>
                <w:sz w:val="21"/>
              </w:rPr>
            </w:pPr>
          </w:p>
        </w:tc>
        <w:tc>
          <w:tcPr>
            <w:tcW w:w="1297" w:type="dxa"/>
            <w:vAlign w:val="top"/>
          </w:tcPr>
          <w:p w14:paraId="36C7E299">
            <w:pPr>
              <w:pStyle w:val="6"/>
              <w:spacing w:before="170" w:line="208" w:lineRule="auto"/>
              <w:ind w:left="260"/>
            </w:pPr>
            <w:r>
              <w:rPr>
                <w:rFonts w:ascii="Times New Roman" w:hAnsi="Times New Roman" w:eastAsia="Times New Roman" w:cs="Times New Roman"/>
                <w:spacing w:val="-2"/>
              </w:rPr>
              <w:t>2025</w:t>
            </w:r>
            <w:r>
              <w:rPr>
                <w:spacing w:val="-2"/>
              </w:rPr>
              <w:t>年</w:t>
            </w:r>
          </w:p>
        </w:tc>
      </w:tr>
      <w:tr w14:paraId="42079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92" w:type="dxa"/>
            <w:vMerge w:val="continue"/>
            <w:tcBorders>
              <w:top w:val="nil"/>
              <w:bottom w:val="nil"/>
            </w:tcBorders>
            <w:vAlign w:val="top"/>
          </w:tcPr>
          <w:p w14:paraId="790804C6">
            <w:pPr>
              <w:rPr>
                <w:rFonts w:ascii="Arial"/>
                <w:sz w:val="21"/>
              </w:rPr>
            </w:pPr>
          </w:p>
        </w:tc>
        <w:tc>
          <w:tcPr>
            <w:tcW w:w="8002" w:type="dxa"/>
            <w:vAlign w:val="top"/>
          </w:tcPr>
          <w:p w14:paraId="537E7A40">
            <w:pPr>
              <w:pStyle w:val="6"/>
              <w:spacing w:before="42" w:line="185" w:lineRule="auto"/>
              <w:ind w:left="361" w:right="104" w:hanging="229"/>
            </w:pPr>
            <w:r>
              <w:rPr>
                <w:rFonts w:ascii="Times New Roman" w:hAnsi="Times New Roman" w:eastAsia="Times New Roman" w:cs="Times New Roman"/>
              </w:rPr>
              <w:t>15</w:t>
            </w:r>
            <w:r>
              <w:t>．全面贯彻落实党的教育方针，开齐开足开好国家规定课程</w:t>
            </w:r>
            <w:r>
              <w:rPr>
                <w:spacing w:val="-1"/>
              </w:rPr>
              <w:t>，课程实施</w:t>
            </w:r>
            <w:r>
              <w:rPr>
                <w:spacing w:val="-3"/>
              </w:rPr>
              <w:t>符合课程标准。</w:t>
            </w:r>
          </w:p>
        </w:tc>
        <w:tc>
          <w:tcPr>
            <w:tcW w:w="3242" w:type="dxa"/>
            <w:vMerge w:val="continue"/>
            <w:tcBorders>
              <w:top w:val="nil"/>
              <w:bottom w:val="nil"/>
            </w:tcBorders>
            <w:vAlign w:val="top"/>
          </w:tcPr>
          <w:p w14:paraId="586127EC">
            <w:pPr>
              <w:rPr>
                <w:rFonts w:ascii="Arial"/>
                <w:sz w:val="21"/>
              </w:rPr>
            </w:pPr>
          </w:p>
        </w:tc>
        <w:tc>
          <w:tcPr>
            <w:tcW w:w="1297" w:type="dxa"/>
            <w:vAlign w:val="top"/>
          </w:tcPr>
          <w:p w14:paraId="7268AE73">
            <w:pPr>
              <w:pStyle w:val="6"/>
              <w:spacing w:before="173" w:line="208" w:lineRule="auto"/>
              <w:ind w:left="178"/>
            </w:pPr>
            <w:r>
              <w:rPr>
                <w:spacing w:val="-4"/>
              </w:rPr>
              <w:t>持续推进</w:t>
            </w:r>
          </w:p>
        </w:tc>
      </w:tr>
      <w:tr w14:paraId="4B481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92" w:type="dxa"/>
            <w:vMerge w:val="continue"/>
            <w:tcBorders>
              <w:top w:val="nil"/>
              <w:bottom w:val="nil"/>
            </w:tcBorders>
            <w:vAlign w:val="top"/>
          </w:tcPr>
          <w:p w14:paraId="73D7B975">
            <w:pPr>
              <w:rPr>
                <w:rFonts w:ascii="Arial"/>
                <w:sz w:val="21"/>
              </w:rPr>
            </w:pPr>
          </w:p>
        </w:tc>
        <w:tc>
          <w:tcPr>
            <w:tcW w:w="8002" w:type="dxa"/>
            <w:vAlign w:val="top"/>
          </w:tcPr>
          <w:p w14:paraId="2A9812A7">
            <w:pPr>
              <w:pStyle w:val="6"/>
              <w:spacing w:before="66" w:line="192" w:lineRule="auto"/>
              <w:jc w:val="right"/>
            </w:pPr>
            <w:r>
              <w:rPr>
                <w:rFonts w:ascii="Times New Roman" w:hAnsi="Times New Roman" w:eastAsia="Times New Roman" w:cs="Times New Roman"/>
                <w:spacing w:val="-8"/>
              </w:rPr>
              <w:t>16</w:t>
            </w:r>
            <w:r>
              <w:rPr>
                <w:spacing w:val="-8"/>
              </w:rPr>
              <w:t>．严格落实中小学生作业、睡眠、手机、读物、体</w:t>
            </w:r>
            <w:r>
              <w:rPr>
                <w:spacing w:val="-9"/>
              </w:rPr>
              <w:t>质“五项管理”要求。</w:t>
            </w:r>
          </w:p>
        </w:tc>
        <w:tc>
          <w:tcPr>
            <w:tcW w:w="3242" w:type="dxa"/>
            <w:vMerge w:val="continue"/>
            <w:tcBorders>
              <w:top w:val="nil"/>
              <w:bottom w:val="nil"/>
            </w:tcBorders>
            <w:vAlign w:val="top"/>
          </w:tcPr>
          <w:p w14:paraId="46197BC2">
            <w:pPr>
              <w:rPr>
                <w:rFonts w:ascii="Arial"/>
                <w:sz w:val="21"/>
              </w:rPr>
            </w:pPr>
          </w:p>
        </w:tc>
        <w:tc>
          <w:tcPr>
            <w:tcW w:w="1297" w:type="dxa"/>
            <w:vAlign w:val="top"/>
          </w:tcPr>
          <w:p w14:paraId="00F79AD2">
            <w:pPr>
              <w:pStyle w:val="6"/>
              <w:spacing w:before="51" w:line="202" w:lineRule="auto"/>
              <w:ind w:left="178"/>
            </w:pPr>
            <w:r>
              <w:rPr>
                <w:spacing w:val="-4"/>
              </w:rPr>
              <w:t>持续推进</w:t>
            </w:r>
          </w:p>
        </w:tc>
      </w:tr>
      <w:tr w14:paraId="6DEBD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92" w:type="dxa"/>
            <w:vMerge w:val="continue"/>
            <w:tcBorders>
              <w:top w:val="nil"/>
            </w:tcBorders>
            <w:vAlign w:val="top"/>
          </w:tcPr>
          <w:p w14:paraId="50C29705">
            <w:pPr>
              <w:rPr>
                <w:rFonts w:ascii="Arial"/>
                <w:sz w:val="21"/>
              </w:rPr>
            </w:pPr>
          </w:p>
        </w:tc>
        <w:tc>
          <w:tcPr>
            <w:tcW w:w="8002" w:type="dxa"/>
            <w:vAlign w:val="top"/>
          </w:tcPr>
          <w:p w14:paraId="685E18E2">
            <w:pPr>
              <w:pStyle w:val="6"/>
              <w:spacing w:before="39" w:line="186" w:lineRule="auto"/>
              <w:ind w:left="363" w:right="104" w:hanging="231"/>
            </w:pPr>
            <w:r>
              <w:rPr>
                <w:rFonts w:ascii="Times New Roman" w:hAnsi="Times New Roman" w:eastAsia="Times New Roman" w:cs="Times New Roman"/>
                <w:spacing w:val="-2"/>
              </w:rPr>
              <w:t>17</w:t>
            </w:r>
            <w:r>
              <w:rPr>
                <w:spacing w:val="-2"/>
              </w:rPr>
              <w:t>．加强教材管理，严禁以自编课程及教材取代国家课程及教材，义务教育学校不得使用境外教材。</w:t>
            </w:r>
          </w:p>
        </w:tc>
        <w:tc>
          <w:tcPr>
            <w:tcW w:w="3242" w:type="dxa"/>
            <w:vMerge w:val="continue"/>
            <w:tcBorders>
              <w:top w:val="nil"/>
            </w:tcBorders>
            <w:vAlign w:val="top"/>
          </w:tcPr>
          <w:p w14:paraId="574D289C">
            <w:pPr>
              <w:rPr>
                <w:rFonts w:ascii="Arial"/>
                <w:sz w:val="21"/>
              </w:rPr>
            </w:pPr>
          </w:p>
        </w:tc>
        <w:tc>
          <w:tcPr>
            <w:tcW w:w="1297" w:type="dxa"/>
            <w:vAlign w:val="top"/>
          </w:tcPr>
          <w:p w14:paraId="6A91EFC4">
            <w:pPr>
              <w:pStyle w:val="6"/>
              <w:spacing w:before="171" w:line="208" w:lineRule="auto"/>
              <w:ind w:left="178"/>
            </w:pPr>
            <w:r>
              <w:rPr>
                <w:spacing w:val="-4"/>
              </w:rPr>
              <w:t>持续推进</w:t>
            </w:r>
          </w:p>
        </w:tc>
      </w:tr>
      <w:tr w14:paraId="2C628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492" w:type="dxa"/>
            <w:vMerge w:val="restart"/>
            <w:tcBorders>
              <w:bottom w:val="nil"/>
            </w:tcBorders>
            <w:vAlign w:val="top"/>
          </w:tcPr>
          <w:p w14:paraId="0129F16C">
            <w:pPr>
              <w:spacing w:line="354" w:lineRule="auto"/>
              <w:rPr>
                <w:rFonts w:ascii="Arial"/>
                <w:sz w:val="21"/>
              </w:rPr>
            </w:pPr>
          </w:p>
          <w:p w14:paraId="190CC403">
            <w:pPr>
              <w:pStyle w:val="6"/>
              <w:spacing w:before="90" w:line="237" w:lineRule="auto"/>
              <w:ind w:left="120" w:right="106" w:hanging="18"/>
              <w:jc w:val="both"/>
            </w:pPr>
            <w:r>
              <w:rPr>
                <w:spacing w:val="-2"/>
              </w:rPr>
              <w:t>（四）全面</w:t>
            </w:r>
            <w:r>
              <w:rPr>
                <w:spacing w:val="11"/>
              </w:rPr>
              <w:t>强化财务管</w:t>
            </w:r>
            <w:r>
              <w:rPr>
                <w:spacing w:val="-5"/>
              </w:rPr>
              <w:t>理行动</w:t>
            </w:r>
          </w:p>
        </w:tc>
        <w:tc>
          <w:tcPr>
            <w:tcW w:w="8002" w:type="dxa"/>
            <w:vAlign w:val="top"/>
          </w:tcPr>
          <w:p w14:paraId="1DD2BDE8">
            <w:pPr>
              <w:pStyle w:val="6"/>
              <w:spacing w:before="38" w:line="191" w:lineRule="auto"/>
              <w:ind w:left="361" w:right="104" w:hanging="229"/>
            </w:pPr>
            <w:r>
              <w:rPr>
                <w:rFonts w:ascii="Times New Roman" w:hAnsi="Times New Roman" w:eastAsia="Times New Roman" w:cs="Times New Roman"/>
                <w:spacing w:val="-1"/>
              </w:rPr>
              <w:t>18</w:t>
            </w:r>
            <w:r>
              <w:rPr>
                <w:spacing w:val="-1"/>
              </w:rPr>
              <w:t>．严格执行教育收费公示制度，非营利性民办学校收取费用、开展</w:t>
            </w:r>
            <w:r>
              <w:rPr>
                <w:spacing w:val="-2"/>
              </w:rPr>
              <w:t>活动</w:t>
            </w:r>
            <w:r>
              <w:rPr>
                <w:spacing w:val="2"/>
              </w:rPr>
              <w:t>的资金往来，应当使用在主管部门备案的账户。每年开展民办</w:t>
            </w:r>
            <w:r>
              <w:rPr>
                <w:spacing w:val="1"/>
              </w:rPr>
              <w:t>学校收费</w:t>
            </w:r>
            <w:r>
              <w:rPr>
                <w:spacing w:val="-3"/>
              </w:rPr>
              <w:t>专项治理工作。</w:t>
            </w:r>
          </w:p>
        </w:tc>
        <w:tc>
          <w:tcPr>
            <w:tcW w:w="3242" w:type="dxa"/>
            <w:vAlign w:val="top"/>
          </w:tcPr>
          <w:p w14:paraId="26413775">
            <w:pPr>
              <w:spacing w:line="252" w:lineRule="auto"/>
              <w:rPr>
                <w:rFonts w:ascii="Arial"/>
                <w:sz w:val="21"/>
              </w:rPr>
            </w:pPr>
          </w:p>
          <w:p w14:paraId="34A818C6">
            <w:pPr>
              <w:pStyle w:val="6"/>
              <w:spacing w:before="90" w:line="208" w:lineRule="auto"/>
              <w:ind w:left="1278"/>
            </w:pPr>
            <w:r>
              <w:rPr>
                <w:spacing w:val="-6"/>
              </w:rPr>
              <w:t>计财科</w:t>
            </w:r>
          </w:p>
        </w:tc>
        <w:tc>
          <w:tcPr>
            <w:tcW w:w="1297" w:type="dxa"/>
            <w:vAlign w:val="top"/>
          </w:tcPr>
          <w:p w14:paraId="28F3C0C2">
            <w:pPr>
              <w:pStyle w:val="6"/>
              <w:spacing w:before="322" w:line="208" w:lineRule="auto"/>
              <w:ind w:left="178"/>
            </w:pPr>
            <w:r>
              <w:rPr>
                <w:spacing w:val="-4"/>
              </w:rPr>
              <w:t>持续推进</w:t>
            </w:r>
          </w:p>
        </w:tc>
      </w:tr>
      <w:tr w14:paraId="3F80F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92" w:type="dxa"/>
            <w:vMerge w:val="continue"/>
            <w:tcBorders>
              <w:top w:val="nil"/>
              <w:bottom w:val="nil"/>
            </w:tcBorders>
            <w:vAlign w:val="top"/>
          </w:tcPr>
          <w:p w14:paraId="797D8772">
            <w:pPr>
              <w:rPr>
                <w:rFonts w:ascii="Arial"/>
                <w:sz w:val="21"/>
              </w:rPr>
            </w:pPr>
          </w:p>
        </w:tc>
        <w:tc>
          <w:tcPr>
            <w:tcW w:w="8002" w:type="dxa"/>
            <w:vAlign w:val="top"/>
          </w:tcPr>
          <w:p w14:paraId="2266D019">
            <w:pPr>
              <w:pStyle w:val="6"/>
              <w:spacing w:before="42" w:line="185" w:lineRule="auto"/>
              <w:ind w:left="363" w:right="104" w:hanging="231"/>
            </w:pPr>
            <w:r>
              <w:rPr>
                <w:rFonts w:ascii="Times New Roman" w:hAnsi="Times New Roman" w:eastAsia="Times New Roman" w:cs="Times New Roman"/>
                <w:spacing w:val="-2"/>
              </w:rPr>
              <w:t>19</w:t>
            </w:r>
            <w:r>
              <w:rPr>
                <w:spacing w:val="-2"/>
              </w:rPr>
              <w:t>．加大财务监管力度，依法依规开展财务审计，每年组织对民办义务教育学校进行财务专项检查。</w:t>
            </w:r>
          </w:p>
        </w:tc>
        <w:tc>
          <w:tcPr>
            <w:tcW w:w="3242" w:type="dxa"/>
            <w:vAlign w:val="top"/>
          </w:tcPr>
          <w:p w14:paraId="58C72584">
            <w:pPr>
              <w:pStyle w:val="6"/>
              <w:spacing w:before="195" w:line="208" w:lineRule="auto"/>
              <w:ind w:left="805"/>
            </w:pPr>
            <w:r>
              <w:rPr>
                <w:spacing w:val="-8"/>
              </w:rPr>
              <w:t>党群科、计财科</w:t>
            </w:r>
          </w:p>
        </w:tc>
        <w:tc>
          <w:tcPr>
            <w:tcW w:w="1297" w:type="dxa"/>
            <w:vAlign w:val="top"/>
          </w:tcPr>
          <w:p w14:paraId="21C49DA2">
            <w:pPr>
              <w:pStyle w:val="6"/>
              <w:spacing w:before="172" w:line="208" w:lineRule="auto"/>
              <w:ind w:left="178"/>
            </w:pPr>
            <w:r>
              <w:rPr>
                <w:spacing w:val="-4"/>
              </w:rPr>
              <w:t>持续推进</w:t>
            </w:r>
          </w:p>
        </w:tc>
      </w:tr>
      <w:tr w14:paraId="7DA61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492" w:type="dxa"/>
            <w:vMerge w:val="continue"/>
            <w:tcBorders>
              <w:top w:val="nil"/>
            </w:tcBorders>
            <w:vAlign w:val="top"/>
          </w:tcPr>
          <w:p w14:paraId="2FD1B65D">
            <w:pPr>
              <w:rPr>
                <w:rFonts w:ascii="Arial"/>
                <w:sz w:val="21"/>
              </w:rPr>
            </w:pPr>
          </w:p>
        </w:tc>
        <w:tc>
          <w:tcPr>
            <w:tcW w:w="8002" w:type="dxa"/>
            <w:vAlign w:val="top"/>
          </w:tcPr>
          <w:p w14:paraId="2FAB3C09">
            <w:pPr>
              <w:pStyle w:val="6"/>
              <w:spacing w:before="71" w:line="191" w:lineRule="auto"/>
              <w:ind w:left="109"/>
            </w:pPr>
            <w:r>
              <w:rPr>
                <w:rFonts w:ascii="Times New Roman" w:hAnsi="Times New Roman" w:eastAsia="Times New Roman" w:cs="Times New Roman"/>
                <w:spacing w:val="-2"/>
              </w:rPr>
              <w:t>20</w:t>
            </w:r>
            <w:r>
              <w:rPr>
                <w:spacing w:val="-2"/>
              </w:rPr>
              <w:t>．依法建立并有效执行资产管理制度和财产清查制度。</w:t>
            </w:r>
          </w:p>
        </w:tc>
        <w:tc>
          <w:tcPr>
            <w:tcW w:w="3242" w:type="dxa"/>
            <w:vAlign w:val="top"/>
          </w:tcPr>
          <w:p w14:paraId="21353116">
            <w:pPr>
              <w:pStyle w:val="6"/>
              <w:spacing w:before="73" w:line="190" w:lineRule="auto"/>
              <w:ind w:left="1278"/>
            </w:pPr>
            <w:r>
              <w:rPr>
                <w:spacing w:val="-6"/>
              </w:rPr>
              <w:t>计财科</w:t>
            </w:r>
          </w:p>
        </w:tc>
        <w:tc>
          <w:tcPr>
            <w:tcW w:w="1297" w:type="dxa"/>
            <w:vAlign w:val="top"/>
          </w:tcPr>
          <w:p w14:paraId="6CB46C77">
            <w:pPr>
              <w:pStyle w:val="6"/>
              <w:spacing w:before="53" w:line="203" w:lineRule="auto"/>
              <w:ind w:left="178"/>
            </w:pPr>
            <w:r>
              <w:rPr>
                <w:spacing w:val="-4"/>
              </w:rPr>
              <w:t>持续推进</w:t>
            </w:r>
          </w:p>
        </w:tc>
      </w:tr>
    </w:tbl>
    <w:p w14:paraId="1CB7EFB9"/>
    <w:sectPr>
      <w:footerReference r:id="rId6" w:type="default"/>
      <w:pgSz w:w="16838" w:h="11906" w:orient="landscape"/>
      <w:pgMar w:top="1134" w:right="1134" w:bottom="1134" w:left="113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AFC8C">
    <w:pPr>
      <w:spacing w:line="177" w:lineRule="auto"/>
      <w:ind w:left="813"/>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3A09D">
    <w:pPr>
      <w:spacing w:line="177" w:lineRule="auto"/>
      <w:ind w:left="12304"/>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ZWFlNGMyMGRhMDE1Y2UyMzkyMmE4NDNkMWYwM2MifQ=="/>
  </w:docVars>
  <w:rsids>
    <w:rsidRoot w:val="6B3121E9"/>
    <w:rsid w:val="267F1E8B"/>
    <w:rsid w:val="6B312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方正仿宋_GBK" w:hAnsi="方正仿宋_GBK" w:eastAsia="方正仿宋_GBK" w:cs="方正仿宋_GBK"/>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2024-11-15T00:39:00Z</dcterms:created>
  <dc:creator>粥</dc:creator>
  <cp:lastModifiedBy>粥</cp:lastModifiedBy>
  <dcterms:modified xsi:type="dcterms:W3CDTF">2024-11-15T00:41:19Z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F1132B3B9228471192BE5D6373AA3B4B_11</vt:lpwstr>
  </property>
</Properties>
</file>