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73F" w:rsidRDefault="00C8273F">
      <w:pPr>
        <w:spacing w:line="312" w:lineRule="exact"/>
        <w:rPr>
          <w:sz w:val="21"/>
          <w:szCs w:val="21"/>
        </w:rPr>
      </w:pPr>
    </w:p>
    <w:p w:rsidR="00C8273F" w:rsidRDefault="00C8273F">
      <w:pPr>
        <w:spacing w:line="312" w:lineRule="exact"/>
        <w:rPr>
          <w:sz w:val="21"/>
          <w:szCs w:val="21"/>
        </w:rPr>
      </w:pPr>
    </w:p>
    <w:p w:rsidR="00C8273F" w:rsidRDefault="00C8273F">
      <w:pPr>
        <w:spacing w:line="312" w:lineRule="exact"/>
        <w:rPr>
          <w:sz w:val="21"/>
          <w:szCs w:val="21"/>
        </w:rPr>
      </w:pPr>
    </w:p>
    <w:p w:rsidR="00C8273F" w:rsidRDefault="00C8273F">
      <w:pPr>
        <w:spacing w:line="312" w:lineRule="exact"/>
        <w:rPr>
          <w:sz w:val="21"/>
          <w:szCs w:val="21"/>
        </w:rPr>
      </w:pPr>
    </w:p>
    <w:p w:rsidR="00C8273F" w:rsidRDefault="00C8273F">
      <w:pPr>
        <w:spacing w:line="312" w:lineRule="exact"/>
        <w:rPr>
          <w:sz w:val="21"/>
          <w:szCs w:val="21"/>
        </w:rPr>
      </w:pPr>
    </w:p>
    <w:p w:rsidR="00C8273F" w:rsidRDefault="00C8273F">
      <w:pPr>
        <w:spacing w:line="312" w:lineRule="exact"/>
        <w:rPr>
          <w:sz w:val="21"/>
          <w:szCs w:val="21"/>
        </w:rPr>
      </w:pPr>
    </w:p>
    <w:p w:rsidR="00C8273F" w:rsidRDefault="00C8273F">
      <w:pPr>
        <w:spacing w:line="312" w:lineRule="exact"/>
        <w:rPr>
          <w:sz w:val="21"/>
          <w:szCs w:val="21"/>
        </w:rPr>
      </w:pPr>
    </w:p>
    <w:p w:rsidR="00C8273F" w:rsidRDefault="00C8273F">
      <w:pPr>
        <w:rPr>
          <w:sz w:val="21"/>
          <w:szCs w:val="21"/>
        </w:rPr>
      </w:pPr>
    </w:p>
    <w:p w:rsidR="00C8273F" w:rsidRDefault="00CF6849">
      <w:pPr>
        <w:jc w:val="center"/>
        <w:rPr>
          <w:rFonts w:ascii="楷体_GB2312" w:eastAsia="楷体_GB2312" w:hAnsi="楷体"/>
          <w:szCs w:val="32"/>
        </w:rPr>
      </w:pPr>
      <w:bookmarkStart w:id="0" w:name="PO_DocNum"/>
      <w:bookmarkEnd w:id="0"/>
      <w:r>
        <w:rPr>
          <w:rFonts w:ascii="楷体_GB2312" w:eastAsia="楷体_GB2312" w:hAnsi="楷体" w:hint="eastAsia"/>
          <w:szCs w:val="32"/>
        </w:rPr>
        <w:t>宜政办发〔</w:t>
      </w:r>
      <w:r>
        <w:rPr>
          <w:rFonts w:ascii="楷体_GB2312" w:eastAsia="楷体_GB2312" w:hAnsi="楷体" w:hint="eastAsia"/>
          <w:szCs w:val="32"/>
        </w:rPr>
        <w:t>2024</w:t>
      </w:r>
      <w:r>
        <w:rPr>
          <w:rFonts w:ascii="楷体_GB2312" w:eastAsia="楷体_GB2312" w:hAnsi="楷体" w:hint="eastAsia"/>
          <w:szCs w:val="32"/>
        </w:rPr>
        <w:t>〕</w:t>
      </w:r>
      <w:r>
        <w:rPr>
          <w:rFonts w:ascii="楷体_GB2312" w:eastAsia="楷体_GB2312" w:hAnsi="楷体" w:hint="eastAsia"/>
          <w:szCs w:val="32"/>
        </w:rPr>
        <w:t>37</w:t>
      </w:r>
      <w:r>
        <w:rPr>
          <w:rFonts w:ascii="楷体_GB2312" w:eastAsia="楷体_GB2312" w:hAnsi="楷体" w:hint="eastAsia"/>
          <w:szCs w:val="32"/>
        </w:rPr>
        <w:t>号</w:t>
      </w:r>
    </w:p>
    <w:p w:rsidR="00C8273F" w:rsidRDefault="00C8273F">
      <w:pPr>
        <w:jc w:val="left"/>
        <w:rPr>
          <w:rFonts w:ascii="楷体_GB2312" w:eastAsia="楷体_GB2312" w:hAnsi="楷体"/>
          <w:szCs w:val="32"/>
        </w:rPr>
      </w:pPr>
    </w:p>
    <w:p w:rsidR="00C8273F" w:rsidRDefault="00C8273F">
      <w:pPr>
        <w:pStyle w:val="a3"/>
        <w:autoSpaceDE w:val="0"/>
        <w:autoSpaceDN w:val="0"/>
        <w:jc w:val="left"/>
        <w:rPr>
          <w:bCs/>
          <w:color w:val="FF0000"/>
          <w:w w:val="50"/>
          <w:kern w:val="0"/>
          <w:sz w:val="20"/>
        </w:rPr>
      </w:pPr>
      <w:bookmarkStart w:id="1" w:name="quanwen"/>
    </w:p>
    <w:p w:rsidR="00C8273F" w:rsidRDefault="00CF6849">
      <w:pPr>
        <w:pStyle w:val="a3"/>
        <w:spacing w:line="579" w:lineRule="exact"/>
        <w:jc w:val="center"/>
        <w:outlineLvl w:val="0"/>
        <w:rPr>
          <w:rFonts w:ascii="方正小标宋_GBK" w:eastAsia="方正小标宋_GBK" w:hAnsi="Times New Roman"/>
          <w:sz w:val="44"/>
          <w:szCs w:val="44"/>
        </w:rPr>
      </w:pPr>
      <w:bookmarkStart w:id="2" w:name="ZS"/>
      <w:bookmarkStart w:id="3" w:name="Content"/>
      <w:bookmarkEnd w:id="2"/>
      <w:bookmarkEnd w:id="3"/>
      <w:r>
        <w:rPr>
          <w:rFonts w:ascii="方正小标宋_GBK" w:eastAsia="方正小标宋_GBK" w:hAnsi="Times New Roman" w:hint="eastAsia"/>
          <w:sz w:val="44"/>
          <w:szCs w:val="44"/>
        </w:rPr>
        <w:t>市政府办公室印发《关于进一步调整镇（园区、街道）土地出让收入结算的实施意见》的通知</w:t>
      </w:r>
    </w:p>
    <w:p w:rsidR="00C8273F" w:rsidRDefault="00C8273F">
      <w:pPr>
        <w:spacing w:line="436" w:lineRule="exact"/>
        <w:rPr>
          <w:rFonts w:ascii="方正仿宋_GBK" w:eastAsia="方正仿宋_GBK" w:hAnsi="Times New Roman"/>
          <w:szCs w:val="32"/>
        </w:rPr>
      </w:pPr>
    </w:p>
    <w:p w:rsidR="00C8273F" w:rsidRDefault="00CF6849">
      <w:pPr>
        <w:spacing w:line="576" w:lineRule="exact"/>
        <w:rPr>
          <w:rFonts w:ascii="Times New Roman" w:hAnsi="Times New Roman"/>
          <w:szCs w:val="32"/>
        </w:rPr>
      </w:pPr>
      <w:r>
        <w:rPr>
          <w:rFonts w:ascii="Times New Roman" w:hAnsi="Times New Roman"/>
          <w:szCs w:val="44"/>
        </w:rPr>
        <w:t>各开发区管委会（管理办），各镇人民政府，各街道办事处，市各委办局，市各直属单位：</w:t>
      </w:r>
    </w:p>
    <w:p w:rsidR="00C8273F" w:rsidRDefault="00CF6849">
      <w:pPr>
        <w:spacing w:line="576" w:lineRule="exact"/>
        <w:ind w:firstLineChars="200" w:firstLine="640"/>
        <w:rPr>
          <w:rFonts w:ascii="Times New Roman" w:hAnsi="Times New Roman"/>
          <w:szCs w:val="44"/>
        </w:rPr>
      </w:pPr>
      <w:r>
        <w:rPr>
          <w:rFonts w:ascii="Times New Roman" w:hAnsi="Times New Roman"/>
          <w:szCs w:val="32"/>
        </w:rPr>
        <w:t>《关于进一步调整镇（园区、街道）土地出让收入结算的实施意见》</w:t>
      </w:r>
      <w:r>
        <w:rPr>
          <w:rFonts w:ascii="Times New Roman" w:hAnsi="Times New Roman"/>
          <w:szCs w:val="44"/>
        </w:rPr>
        <w:t>已经</w:t>
      </w:r>
      <w:r>
        <w:rPr>
          <w:rFonts w:ascii="Times New Roman" w:hAnsi="Times New Roman"/>
          <w:szCs w:val="44"/>
        </w:rPr>
        <w:t>市委常委会、</w:t>
      </w:r>
      <w:r>
        <w:rPr>
          <w:rFonts w:ascii="Times New Roman" w:hAnsi="Times New Roman"/>
          <w:szCs w:val="44"/>
        </w:rPr>
        <w:t>市政府常务会议讨论通过，现印发给你们，请认真贯彻执行。</w:t>
      </w:r>
    </w:p>
    <w:p w:rsidR="00C8273F" w:rsidRDefault="00C8273F">
      <w:pPr>
        <w:spacing w:line="576" w:lineRule="exact"/>
        <w:rPr>
          <w:rFonts w:ascii="Times New Roman" w:hAnsi="Times New Roman"/>
          <w:szCs w:val="44"/>
        </w:rPr>
      </w:pPr>
    </w:p>
    <w:p w:rsidR="00C8273F" w:rsidRDefault="00C8273F">
      <w:pPr>
        <w:spacing w:line="576" w:lineRule="exact"/>
        <w:rPr>
          <w:rFonts w:ascii="Times New Roman" w:hAnsi="Times New Roman"/>
          <w:szCs w:val="44"/>
        </w:rPr>
      </w:pPr>
    </w:p>
    <w:p w:rsidR="00C8273F" w:rsidRDefault="00CF6849">
      <w:pPr>
        <w:spacing w:line="576" w:lineRule="exact"/>
        <w:ind w:firstLineChars="1300" w:firstLine="4160"/>
        <w:rPr>
          <w:rFonts w:ascii="Times New Roman" w:hAnsi="Times New Roman"/>
          <w:szCs w:val="44"/>
        </w:rPr>
      </w:pPr>
      <w:r>
        <w:rPr>
          <w:rFonts w:ascii="Times New Roman" w:hAnsi="Times New Roman"/>
          <w:szCs w:val="44"/>
        </w:rPr>
        <w:t xml:space="preserve">   </w:t>
      </w:r>
      <w:r>
        <w:rPr>
          <w:rFonts w:ascii="Times New Roman" w:hAnsi="Times New Roman"/>
          <w:szCs w:val="44"/>
        </w:rPr>
        <w:t xml:space="preserve"> </w:t>
      </w:r>
      <w:r>
        <w:rPr>
          <w:rFonts w:ascii="Times New Roman" w:hAnsi="Times New Roman"/>
          <w:szCs w:val="44"/>
        </w:rPr>
        <w:t>宜兴市人民政府办公室</w:t>
      </w:r>
    </w:p>
    <w:p w:rsidR="00C8273F" w:rsidRDefault="00CF6849">
      <w:pPr>
        <w:spacing w:line="576" w:lineRule="exact"/>
        <w:ind w:firstLineChars="1400" w:firstLine="4480"/>
        <w:rPr>
          <w:rFonts w:ascii="Times New Roman" w:hAnsi="Times New Roman"/>
          <w:szCs w:val="44"/>
        </w:rPr>
      </w:pPr>
      <w:r>
        <w:rPr>
          <w:rFonts w:ascii="Times New Roman" w:hAnsi="Times New Roman"/>
          <w:szCs w:val="44"/>
        </w:rPr>
        <w:t xml:space="preserve">    202</w:t>
      </w:r>
      <w:r>
        <w:rPr>
          <w:rFonts w:ascii="Times New Roman" w:hAnsi="Times New Roman"/>
          <w:szCs w:val="44"/>
        </w:rPr>
        <w:t>4</w:t>
      </w:r>
      <w:r>
        <w:rPr>
          <w:rFonts w:ascii="Times New Roman" w:hAnsi="Times New Roman"/>
          <w:szCs w:val="44"/>
        </w:rPr>
        <w:t>年</w:t>
      </w:r>
      <w:r>
        <w:rPr>
          <w:rFonts w:ascii="Times New Roman" w:hAnsi="Times New Roman" w:hint="eastAsia"/>
          <w:szCs w:val="44"/>
        </w:rPr>
        <w:t>1</w:t>
      </w:r>
      <w:r>
        <w:rPr>
          <w:rFonts w:ascii="Times New Roman" w:hAnsi="Times New Roman" w:hint="eastAsia"/>
          <w:szCs w:val="44"/>
        </w:rPr>
        <w:t>0</w:t>
      </w:r>
      <w:r>
        <w:rPr>
          <w:rFonts w:ascii="Times New Roman" w:hAnsi="Times New Roman"/>
          <w:szCs w:val="44"/>
        </w:rPr>
        <w:t>月</w:t>
      </w:r>
      <w:r>
        <w:rPr>
          <w:rFonts w:ascii="Times New Roman" w:hAnsi="Times New Roman" w:hint="eastAsia"/>
          <w:szCs w:val="44"/>
        </w:rPr>
        <w:t>1</w:t>
      </w:r>
      <w:r>
        <w:rPr>
          <w:rFonts w:ascii="Times New Roman" w:hAnsi="Times New Roman" w:hint="eastAsia"/>
          <w:szCs w:val="44"/>
        </w:rPr>
        <w:t>2</w:t>
      </w:r>
      <w:r>
        <w:rPr>
          <w:rFonts w:ascii="Times New Roman" w:hAnsi="Times New Roman"/>
          <w:szCs w:val="44"/>
        </w:rPr>
        <w:t>日</w:t>
      </w:r>
      <w:r>
        <w:rPr>
          <w:rFonts w:ascii="Times New Roman" w:hAnsi="Times New Roman"/>
          <w:szCs w:val="44"/>
        </w:rPr>
        <w:t xml:space="preserve"> </w:t>
      </w:r>
    </w:p>
    <w:p w:rsidR="00B5041B" w:rsidRDefault="00B5041B">
      <w:pPr>
        <w:pStyle w:val="a3"/>
        <w:spacing w:line="579" w:lineRule="exact"/>
        <w:jc w:val="center"/>
        <w:outlineLvl w:val="0"/>
        <w:rPr>
          <w:rFonts w:ascii="Times New Roman" w:eastAsia="方正小标宋_GBK" w:hAnsi="Times New Roman" w:cs="Times New Roman" w:hint="eastAsia"/>
          <w:spacing w:val="8"/>
          <w:sz w:val="44"/>
          <w:szCs w:val="44"/>
        </w:rPr>
      </w:pPr>
    </w:p>
    <w:p w:rsidR="00B5041B" w:rsidRDefault="00B5041B">
      <w:pPr>
        <w:pStyle w:val="a3"/>
        <w:spacing w:line="579" w:lineRule="exact"/>
        <w:jc w:val="center"/>
        <w:outlineLvl w:val="0"/>
        <w:rPr>
          <w:rFonts w:ascii="Times New Roman" w:eastAsia="方正小标宋_GBK" w:hAnsi="Times New Roman" w:cs="Times New Roman" w:hint="eastAsia"/>
          <w:spacing w:val="8"/>
          <w:sz w:val="44"/>
          <w:szCs w:val="44"/>
        </w:rPr>
      </w:pPr>
    </w:p>
    <w:p w:rsidR="00B5041B" w:rsidRDefault="00B5041B">
      <w:pPr>
        <w:pStyle w:val="a3"/>
        <w:spacing w:line="579" w:lineRule="exact"/>
        <w:jc w:val="center"/>
        <w:outlineLvl w:val="0"/>
        <w:rPr>
          <w:rFonts w:ascii="Times New Roman" w:eastAsia="方正小标宋_GBK" w:hAnsi="Times New Roman" w:cs="Times New Roman" w:hint="eastAsia"/>
          <w:spacing w:val="8"/>
          <w:sz w:val="44"/>
          <w:szCs w:val="44"/>
        </w:rPr>
      </w:pPr>
    </w:p>
    <w:p w:rsidR="00B5041B" w:rsidRDefault="00B5041B">
      <w:pPr>
        <w:pStyle w:val="a3"/>
        <w:spacing w:line="579" w:lineRule="exact"/>
        <w:jc w:val="center"/>
        <w:outlineLvl w:val="0"/>
        <w:rPr>
          <w:rFonts w:ascii="Times New Roman" w:eastAsia="方正小标宋_GBK" w:hAnsi="Times New Roman" w:cs="Times New Roman" w:hint="eastAsia"/>
          <w:spacing w:val="8"/>
          <w:sz w:val="44"/>
          <w:szCs w:val="44"/>
        </w:rPr>
      </w:pPr>
    </w:p>
    <w:p w:rsidR="00C8273F" w:rsidRDefault="00CF6849">
      <w:pPr>
        <w:pStyle w:val="a3"/>
        <w:spacing w:line="579" w:lineRule="exact"/>
        <w:jc w:val="center"/>
        <w:outlineLvl w:val="0"/>
        <w:rPr>
          <w:rFonts w:ascii="Times New Roman" w:eastAsia="方正小标宋_GBK" w:hAnsi="Times New Roman" w:cs="Times New Roman"/>
          <w:spacing w:val="8"/>
          <w:sz w:val="44"/>
          <w:szCs w:val="44"/>
        </w:rPr>
      </w:pPr>
      <w:r>
        <w:rPr>
          <w:rFonts w:ascii="Times New Roman" w:eastAsia="方正小标宋_GBK" w:hAnsi="Times New Roman" w:cs="Times New Roman"/>
          <w:spacing w:val="8"/>
          <w:sz w:val="44"/>
          <w:szCs w:val="44"/>
        </w:rPr>
        <w:lastRenderedPageBreak/>
        <w:t>关于进一步调整镇（园区、街道）土地出让收入结算的实施意见</w:t>
      </w:r>
    </w:p>
    <w:p w:rsidR="00C8273F" w:rsidRDefault="00C8273F">
      <w:pPr>
        <w:pStyle w:val="a3"/>
        <w:spacing w:line="579" w:lineRule="exact"/>
        <w:outlineLvl w:val="0"/>
        <w:rPr>
          <w:rFonts w:ascii="Times New Roman" w:eastAsia="方正小标宋_GBK" w:hAnsi="Times New Roman" w:cs="Times New Roman"/>
          <w:spacing w:val="8"/>
          <w:sz w:val="44"/>
          <w:szCs w:val="44"/>
        </w:rPr>
      </w:pPr>
    </w:p>
    <w:p w:rsidR="00C8273F" w:rsidRDefault="00CF6849">
      <w:pPr>
        <w:spacing w:line="579" w:lineRule="exact"/>
        <w:ind w:firstLine="645"/>
        <w:rPr>
          <w:rFonts w:ascii="Times New Roman" w:hAnsi="Times New Roman"/>
          <w:szCs w:val="32"/>
        </w:rPr>
      </w:pPr>
      <w:r>
        <w:rPr>
          <w:rFonts w:ascii="Times New Roman" w:hAnsi="Times New Roman"/>
          <w:szCs w:val="32"/>
        </w:rPr>
        <w:t>根据《</w:t>
      </w:r>
      <w:r>
        <w:rPr>
          <w:rFonts w:ascii="Times New Roman" w:hAnsi="Times New Roman"/>
          <w:szCs w:val="32"/>
        </w:rPr>
        <w:t>省政府关于印发江苏省被</w:t>
      </w:r>
      <w:r>
        <w:rPr>
          <w:rFonts w:ascii="Times New Roman" w:hAnsi="Times New Roman"/>
          <w:szCs w:val="32"/>
        </w:rPr>
        <w:t>征地农民社会保障办法</w:t>
      </w:r>
      <w:r>
        <w:rPr>
          <w:rFonts w:ascii="Times New Roman" w:hAnsi="Times New Roman"/>
          <w:szCs w:val="32"/>
        </w:rPr>
        <w:t>的通知</w:t>
      </w:r>
      <w:r>
        <w:rPr>
          <w:rFonts w:ascii="Times New Roman" w:hAnsi="Times New Roman"/>
          <w:szCs w:val="32"/>
        </w:rPr>
        <w:t>》（</w:t>
      </w:r>
      <w:r>
        <w:rPr>
          <w:rFonts w:ascii="Times New Roman" w:hAnsi="Times New Roman"/>
          <w:szCs w:val="32"/>
        </w:rPr>
        <w:t>苏政发〔</w:t>
      </w:r>
      <w:r>
        <w:rPr>
          <w:rFonts w:ascii="Times New Roman" w:hAnsi="Times New Roman"/>
          <w:szCs w:val="32"/>
        </w:rPr>
        <w:t>2021</w:t>
      </w:r>
      <w:r>
        <w:rPr>
          <w:rFonts w:ascii="Times New Roman" w:hAnsi="Times New Roman"/>
          <w:szCs w:val="32"/>
        </w:rPr>
        <w:t>〕</w:t>
      </w:r>
      <w:r>
        <w:rPr>
          <w:rFonts w:ascii="Times New Roman" w:hAnsi="Times New Roman"/>
          <w:szCs w:val="32"/>
        </w:rPr>
        <w:t>87</w:t>
      </w:r>
      <w:r>
        <w:rPr>
          <w:rFonts w:ascii="Times New Roman" w:hAnsi="Times New Roman"/>
          <w:szCs w:val="32"/>
        </w:rPr>
        <w:t>号</w:t>
      </w:r>
      <w:r>
        <w:rPr>
          <w:rFonts w:ascii="Times New Roman" w:hAnsi="Times New Roman"/>
          <w:szCs w:val="32"/>
        </w:rPr>
        <w:t>）、《关于调整完善土地出让收入使用范围优先支持乡村振兴若干政策措施的通知》（</w:t>
      </w:r>
      <w:proofErr w:type="gramStart"/>
      <w:r>
        <w:rPr>
          <w:rFonts w:ascii="Times New Roman" w:hAnsi="Times New Roman"/>
          <w:szCs w:val="32"/>
        </w:rPr>
        <w:t>苏办发</w:t>
      </w:r>
      <w:proofErr w:type="gramEnd"/>
      <w:r>
        <w:rPr>
          <w:rFonts w:ascii="Times New Roman" w:hAnsi="Times New Roman"/>
          <w:szCs w:val="32"/>
        </w:rPr>
        <w:t>〔</w:t>
      </w:r>
      <w:r>
        <w:rPr>
          <w:rFonts w:ascii="Times New Roman" w:hAnsi="Times New Roman"/>
          <w:szCs w:val="32"/>
        </w:rPr>
        <w:t>2022</w:t>
      </w:r>
      <w:r>
        <w:rPr>
          <w:rFonts w:ascii="Times New Roman" w:hAnsi="Times New Roman"/>
          <w:szCs w:val="32"/>
        </w:rPr>
        <w:t>〕</w:t>
      </w:r>
      <w:r>
        <w:rPr>
          <w:rFonts w:ascii="Times New Roman" w:hAnsi="Times New Roman"/>
          <w:szCs w:val="32"/>
        </w:rPr>
        <w:t>24</w:t>
      </w:r>
      <w:r>
        <w:rPr>
          <w:rFonts w:ascii="Times New Roman" w:hAnsi="Times New Roman"/>
          <w:szCs w:val="32"/>
        </w:rPr>
        <w:t>号）文件精神，为确保被征地农民保障资金足额筹措，集中支持乡村振兴重点任务，进一步规范我市各镇（园区、街道）国有土地出让收支管理，现就调整市与镇（园区、街道）国有土地出让收入结算提出如下意见。</w:t>
      </w:r>
    </w:p>
    <w:p w:rsidR="00C8273F" w:rsidRDefault="00CF6849">
      <w:pPr>
        <w:spacing w:line="579" w:lineRule="exact"/>
        <w:ind w:firstLine="645"/>
        <w:rPr>
          <w:rFonts w:ascii="Times New Roman" w:eastAsia="黑体" w:hAnsi="Times New Roman"/>
          <w:szCs w:val="32"/>
        </w:rPr>
      </w:pPr>
      <w:r>
        <w:rPr>
          <w:rFonts w:ascii="Times New Roman" w:eastAsia="黑体" w:hAnsi="Times New Roman"/>
          <w:szCs w:val="32"/>
        </w:rPr>
        <w:t>一、明确总体要求</w:t>
      </w:r>
    </w:p>
    <w:p w:rsidR="00C8273F" w:rsidRDefault="00CF6849">
      <w:pPr>
        <w:spacing w:line="579" w:lineRule="exact"/>
        <w:ind w:firstLine="645"/>
        <w:rPr>
          <w:rFonts w:ascii="Times New Roman" w:hAnsi="Times New Roman"/>
          <w:szCs w:val="32"/>
        </w:rPr>
      </w:pPr>
      <w:r>
        <w:rPr>
          <w:rFonts w:ascii="Times New Roman" w:eastAsia="楷体_GB2312" w:hAnsi="Times New Roman"/>
          <w:szCs w:val="32"/>
        </w:rPr>
        <w:t>1</w:t>
      </w:r>
      <w:r>
        <w:rPr>
          <w:rFonts w:ascii="Times New Roman" w:eastAsia="楷体_GB2312" w:hAnsi="Times New Roman"/>
          <w:szCs w:val="32"/>
        </w:rPr>
        <w:t>、土地出让收入范围。</w:t>
      </w:r>
      <w:r>
        <w:rPr>
          <w:rFonts w:ascii="Times New Roman" w:hAnsi="Times New Roman"/>
          <w:szCs w:val="32"/>
        </w:rPr>
        <w:t>按照谁投入谁受益的原则，凡由市级投入拆迁、征地补偿、基础设施建设的经营性用地，出让后取得的收入作为市级收入；由镇（园区、街道）投入征迁相关费用并使用的地块，出让后取得的收入作为各镇（园区、街道）收入。</w:t>
      </w:r>
    </w:p>
    <w:p w:rsidR="00C8273F" w:rsidRDefault="00CF6849">
      <w:pPr>
        <w:spacing w:line="579" w:lineRule="exact"/>
        <w:ind w:firstLine="645"/>
        <w:rPr>
          <w:rFonts w:ascii="Times New Roman" w:hAnsi="Times New Roman"/>
          <w:szCs w:val="32"/>
        </w:rPr>
      </w:pPr>
      <w:r>
        <w:rPr>
          <w:rFonts w:ascii="Times New Roman" w:eastAsia="楷体_GB2312" w:hAnsi="Times New Roman"/>
          <w:szCs w:val="32"/>
        </w:rPr>
        <w:t>2</w:t>
      </w:r>
      <w:r>
        <w:rPr>
          <w:rFonts w:ascii="Times New Roman" w:eastAsia="楷体_GB2312" w:hAnsi="Times New Roman"/>
          <w:szCs w:val="32"/>
        </w:rPr>
        <w:t>、被征地农民社会保障资金来源。</w:t>
      </w:r>
      <w:r>
        <w:rPr>
          <w:rFonts w:ascii="Times New Roman" w:hAnsi="Times New Roman"/>
          <w:szCs w:val="32"/>
        </w:rPr>
        <w:t>按照谁受益谁承担的原则，市级被征地农民社会保障资金由市级</w:t>
      </w:r>
      <w:r>
        <w:rPr>
          <w:rFonts w:ascii="Times New Roman" w:hAnsi="Times New Roman"/>
          <w:szCs w:val="32"/>
        </w:rPr>
        <w:t>财政承担</w:t>
      </w:r>
      <w:r>
        <w:rPr>
          <w:rFonts w:ascii="Times New Roman" w:hAnsi="Times New Roman"/>
          <w:szCs w:val="32"/>
        </w:rPr>
        <w:t>，镇（园区、街道）被征地农民社会保障资金由各镇（园区、街道）</w:t>
      </w:r>
      <w:r>
        <w:rPr>
          <w:rFonts w:ascii="Times New Roman" w:hAnsi="Times New Roman"/>
          <w:szCs w:val="32"/>
        </w:rPr>
        <w:t>财政承担</w:t>
      </w:r>
      <w:r>
        <w:rPr>
          <w:rFonts w:ascii="Times New Roman" w:hAnsi="Times New Roman"/>
          <w:szCs w:val="32"/>
        </w:rPr>
        <w:t>。对于全市建设工程项目涉及的被征地农民社会保障资金，按工程属性由市、镇（园区、街道）</w:t>
      </w:r>
      <w:r>
        <w:rPr>
          <w:rFonts w:ascii="Times New Roman" w:hAnsi="Times New Roman"/>
          <w:szCs w:val="32"/>
        </w:rPr>
        <w:t>财政</w:t>
      </w:r>
      <w:r>
        <w:rPr>
          <w:rFonts w:ascii="Times New Roman" w:hAnsi="Times New Roman"/>
          <w:szCs w:val="32"/>
        </w:rPr>
        <w:t>各自承担。</w:t>
      </w:r>
    </w:p>
    <w:p w:rsidR="00C8273F" w:rsidRDefault="00CF6849">
      <w:pPr>
        <w:spacing w:line="579" w:lineRule="exact"/>
        <w:ind w:firstLine="645"/>
        <w:rPr>
          <w:rFonts w:ascii="Times New Roman" w:eastAsia="黑体" w:hAnsi="Times New Roman"/>
          <w:szCs w:val="32"/>
        </w:rPr>
      </w:pPr>
      <w:r>
        <w:rPr>
          <w:rFonts w:ascii="Times New Roman" w:eastAsia="黑体" w:hAnsi="Times New Roman"/>
          <w:szCs w:val="32"/>
        </w:rPr>
        <w:t>二、调</w:t>
      </w:r>
      <w:r>
        <w:rPr>
          <w:rFonts w:ascii="Times New Roman" w:eastAsia="黑体" w:hAnsi="Times New Roman"/>
          <w:szCs w:val="32"/>
        </w:rPr>
        <w:t>整结算比例</w:t>
      </w:r>
    </w:p>
    <w:p w:rsidR="00C8273F" w:rsidRDefault="00CF6849">
      <w:pPr>
        <w:spacing w:line="579" w:lineRule="exact"/>
        <w:ind w:firstLine="645"/>
        <w:rPr>
          <w:rFonts w:ascii="Times New Roman" w:hAnsi="Times New Roman"/>
          <w:szCs w:val="32"/>
        </w:rPr>
      </w:pPr>
      <w:r>
        <w:rPr>
          <w:rFonts w:ascii="Times New Roman" w:hAnsi="Times New Roman"/>
          <w:szCs w:val="32"/>
        </w:rPr>
        <w:t>市级对各镇（园区、街道）国有土地出让收入计提作以下</w:t>
      </w:r>
      <w:r>
        <w:rPr>
          <w:rFonts w:ascii="Times New Roman" w:hAnsi="Times New Roman"/>
          <w:szCs w:val="32"/>
        </w:rPr>
        <w:lastRenderedPageBreak/>
        <w:t>调整：</w:t>
      </w:r>
    </w:p>
    <w:p w:rsidR="00C8273F" w:rsidRDefault="00CF6849">
      <w:pPr>
        <w:spacing w:line="579" w:lineRule="exact"/>
        <w:ind w:firstLine="645"/>
        <w:rPr>
          <w:rFonts w:ascii="Times New Roman" w:hAnsi="Times New Roman"/>
          <w:szCs w:val="32"/>
        </w:rPr>
      </w:pPr>
      <w:r>
        <w:rPr>
          <w:rFonts w:ascii="Times New Roman" w:eastAsia="楷体_GB2312" w:hAnsi="Times New Roman"/>
          <w:szCs w:val="32"/>
        </w:rPr>
        <w:t>1</w:t>
      </w:r>
      <w:r>
        <w:rPr>
          <w:rFonts w:ascii="Times New Roman" w:eastAsia="楷体_GB2312" w:hAnsi="Times New Roman"/>
          <w:szCs w:val="32"/>
        </w:rPr>
        <w:t>、省级支农统筹。</w:t>
      </w:r>
      <w:r>
        <w:rPr>
          <w:rFonts w:ascii="Times New Roman" w:hAnsi="Times New Roman"/>
          <w:szCs w:val="32"/>
        </w:rPr>
        <w:t>2024</w:t>
      </w:r>
      <w:r>
        <w:rPr>
          <w:rFonts w:ascii="Times New Roman" w:hAnsi="Times New Roman"/>
          <w:szCs w:val="32"/>
        </w:rPr>
        <w:t>年、</w:t>
      </w:r>
      <w:r>
        <w:rPr>
          <w:rFonts w:ascii="Times New Roman" w:hAnsi="Times New Roman"/>
          <w:szCs w:val="32"/>
        </w:rPr>
        <w:t>2025</w:t>
      </w:r>
      <w:r>
        <w:rPr>
          <w:rFonts w:ascii="Times New Roman" w:hAnsi="Times New Roman"/>
          <w:szCs w:val="32"/>
        </w:rPr>
        <w:t>年省级分别按国有土地使用权出让收入</w:t>
      </w:r>
      <w:r>
        <w:rPr>
          <w:rFonts w:ascii="Times New Roman" w:hAnsi="Times New Roman"/>
          <w:szCs w:val="32"/>
        </w:rPr>
        <w:t>1.6%</w:t>
      </w:r>
      <w:r>
        <w:rPr>
          <w:rFonts w:ascii="Times New Roman" w:hAnsi="Times New Roman"/>
          <w:szCs w:val="32"/>
        </w:rPr>
        <w:t>、</w:t>
      </w:r>
      <w:r>
        <w:rPr>
          <w:rFonts w:ascii="Times New Roman" w:hAnsi="Times New Roman"/>
          <w:szCs w:val="32"/>
        </w:rPr>
        <w:t>2%</w:t>
      </w:r>
      <w:r>
        <w:rPr>
          <w:rFonts w:ascii="Times New Roman" w:hAnsi="Times New Roman"/>
          <w:szCs w:val="32"/>
        </w:rPr>
        <w:t>统筹的支农资金，由市</w:t>
      </w:r>
      <w:r>
        <w:rPr>
          <w:rFonts w:ascii="Times New Roman" w:hAnsi="Times New Roman"/>
          <w:szCs w:val="32"/>
        </w:rPr>
        <w:t>级</w:t>
      </w:r>
      <w:r>
        <w:rPr>
          <w:rFonts w:ascii="Times New Roman" w:hAnsi="Times New Roman"/>
          <w:szCs w:val="32"/>
        </w:rPr>
        <w:t>财政在与各镇（园区、街道）的土地出让收入结算中按以上比例计提，以后年度计提比例根据省级文件予以调整。</w:t>
      </w:r>
    </w:p>
    <w:p w:rsidR="00C8273F" w:rsidRDefault="00CF6849">
      <w:pPr>
        <w:spacing w:line="579" w:lineRule="exact"/>
        <w:ind w:firstLine="645"/>
        <w:rPr>
          <w:rFonts w:ascii="Times New Roman" w:hAnsi="Times New Roman"/>
          <w:szCs w:val="32"/>
        </w:rPr>
      </w:pPr>
      <w:r>
        <w:rPr>
          <w:rFonts w:ascii="Times New Roman" w:eastAsia="楷体_GB2312" w:hAnsi="Times New Roman"/>
          <w:szCs w:val="32"/>
        </w:rPr>
        <w:t>2</w:t>
      </w:r>
      <w:r>
        <w:rPr>
          <w:rFonts w:ascii="Times New Roman" w:eastAsia="楷体_GB2312" w:hAnsi="Times New Roman"/>
          <w:szCs w:val="32"/>
        </w:rPr>
        <w:t>、市级集中收入。</w:t>
      </w:r>
      <w:r>
        <w:rPr>
          <w:rFonts w:ascii="Times New Roman" w:hAnsi="Times New Roman"/>
          <w:szCs w:val="32"/>
        </w:rPr>
        <w:t>对各镇（园区、街道）出让的经营性用地，按出让总成交价</w:t>
      </w:r>
      <w:r>
        <w:rPr>
          <w:rFonts w:ascii="Times New Roman" w:hAnsi="Times New Roman"/>
          <w:szCs w:val="32"/>
        </w:rPr>
        <w:t>5%</w:t>
      </w:r>
      <w:r>
        <w:rPr>
          <w:rFonts w:ascii="Times New Roman" w:hAnsi="Times New Roman"/>
          <w:szCs w:val="32"/>
        </w:rPr>
        <w:t>计提的集中收入，由市级财政统筹使用。</w:t>
      </w:r>
    </w:p>
    <w:p w:rsidR="00C8273F" w:rsidRDefault="00CF6849">
      <w:pPr>
        <w:spacing w:line="579" w:lineRule="exact"/>
        <w:ind w:firstLine="645"/>
        <w:rPr>
          <w:rFonts w:ascii="Times New Roman" w:hAnsi="Times New Roman"/>
          <w:szCs w:val="32"/>
        </w:rPr>
      </w:pPr>
      <w:r>
        <w:rPr>
          <w:rFonts w:ascii="Times New Roman" w:eastAsia="楷体_GB2312" w:hAnsi="Times New Roman"/>
          <w:szCs w:val="32"/>
        </w:rPr>
        <w:t>3</w:t>
      </w:r>
      <w:r>
        <w:rPr>
          <w:rFonts w:ascii="Times New Roman" w:eastAsia="楷体_GB2312" w:hAnsi="Times New Roman"/>
          <w:szCs w:val="32"/>
        </w:rPr>
        <w:t>、其他计提收入。</w:t>
      </w:r>
      <w:r>
        <w:rPr>
          <w:rFonts w:ascii="Times New Roman" w:hAnsi="Times New Roman"/>
          <w:szCs w:val="32"/>
        </w:rPr>
        <w:t>按出让收入总额</w:t>
      </w:r>
      <w:r>
        <w:rPr>
          <w:rFonts w:ascii="Times New Roman" w:hAnsi="Times New Roman"/>
          <w:szCs w:val="32"/>
        </w:rPr>
        <w:t>5%</w:t>
      </w:r>
      <w:r>
        <w:rPr>
          <w:rFonts w:ascii="Times New Roman" w:hAnsi="Times New Roman"/>
          <w:szCs w:val="32"/>
        </w:rPr>
        <w:t>计提国有土地收益基金，按出让收入总额的</w:t>
      </w:r>
      <w:r>
        <w:rPr>
          <w:rFonts w:ascii="Times New Roman" w:hAnsi="Times New Roman"/>
          <w:szCs w:val="32"/>
        </w:rPr>
        <w:t>2%</w:t>
      </w:r>
      <w:r>
        <w:rPr>
          <w:rFonts w:ascii="Times New Roman" w:hAnsi="Times New Roman"/>
          <w:szCs w:val="32"/>
        </w:rPr>
        <w:t>计提土地出让业务费，按被征地农民</w:t>
      </w:r>
      <w:r>
        <w:rPr>
          <w:rFonts w:ascii="Times New Roman" w:hAnsi="Times New Roman"/>
          <w:szCs w:val="32"/>
        </w:rPr>
        <w:t>1000</w:t>
      </w:r>
      <w:r>
        <w:rPr>
          <w:rFonts w:ascii="Times New Roman" w:hAnsi="Times New Roman"/>
          <w:szCs w:val="32"/>
        </w:rPr>
        <w:t>元</w:t>
      </w:r>
      <w:r>
        <w:rPr>
          <w:rFonts w:ascii="Times New Roman" w:hAnsi="Times New Roman"/>
          <w:szCs w:val="32"/>
        </w:rPr>
        <w:t>/</w:t>
      </w:r>
      <w:r>
        <w:rPr>
          <w:rFonts w:ascii="Times New Roman" w:hAnsi="Times New Roman"/>
          <w:szCs w:val="32"/>
        </w:rPr>
        <w:t>人计提扶持被征地农民就业支出，按土地出让面积</w:t>
      </w:r>
      <w:r>
        <w:rPr>
          <w:rFonts w:ascii="Times New Roman" w:hAnsi="Times New Roman"/>
          <w:szCs w:val="32"/>
        </w:rPr>
        <w:t>1</w:t>
      </w:r>
      <w:r>
        <w:rPr>
          <w:rFonts w:ascii="Times New Roman" w:hAnsi="Times New Roman"/>
          <w:szCs w:val="32"/>
        </w:rPr>
        <w:t>元</w:t>
      </w:r>
      <w:r>
        <w:rPr>
          <w:rFonts w:ascii="Times New Roman" w:hAnsi="Times New Roman"/>
          <w:szCs w:val="32"/>
        </w:rPr>
        <w:t>/</w:t>
      </w:r>
      <w:r>
        <w:rPr>
          <w:rFonts w:ascii="Times New Roman" w:hAnsi="Times New Roman"/>
          <w:szCs w:val="32"/>
        </w:rPr>
        <w:t>㎡计提交易服务费，按土地出让面积</w:t>
      </w:r>
      <w:r>
        <w:rPr>
          <w:rFonts w:ascii="Times New Roman" w:hAnsi="Times New Roman"/>
          <w:szCs w:val="32"/>
        </w:rPr>
        <w:t>5</w:t>
      </w:r>
      <w:r>
        <w:rPr>
          <w:rFonts w:ascii="Times New Roman" w:hAnsi="Times New Roman"/>
          <w:szCs w:val="32"/>
        </w:rPr>
        <w:t>900</w:t>
      </w:r>
      <w:r>
        <w:rPr>
          <w:rFonts w:ascii="Times New Roman" w:hAnsi="Times New Roman"/>
          <w:szCs w:val="32"/>
        </w:rPr>
        <w:t>元</w:t>
      </w:r>
      <w:r>
        <w:rPr>
          <w:rFonts w:ascii="Times New Roman" w:hAnsi="Times New Roman"/>
          <w:szCs w:val="32"/>
        </w:rPr>
        <w:t>/</w:t>
      </w:r>
      <w:r>
        <w:rPr>
          <w:rFonts w:ascii="Times New Roman" w:hAnsi="Times New Roman"/>
          <w:szCs w:val="32"/>
        </w:rPr>
        <w:t>亩计提农业土地开发支出，按新增建设用地面积</w:t>
      </w:r>
      <w:r>
        <w:rPr>
          <w:rFonts w:ascii="Times New Roman" w:hAnsi="Times New Roman"/>
          <w:szCs w:val="32"/>
        </w:rPr>
        <w:t>48</w:t>
      </w:r>
      <w:r>
        <w:rPr>
          <w:rFonts w:ascii="Times New Roman" w:hAnsi="Times New Roman"/>
          <w:szCs w:val="32"/>
        </w:rPr>
        <w:t>元</w:t>
      </w:r>
      <w:r>
        <w:rPr>
          <w:rFonts w:ascii="Times New Roman" w:hAnsi="Times New Roman"/>
          <w:szCs w:val="32"/>
        </w:rPr>
        <w:t>/</w:t>
      </w:r>
      <w:r>
        <w:rPr>
          <w:rFonts w:ascii="Times New Roman" w:hAnsi="Times New Roman"/>
          <w:szCs w:val="32"/>
        </w:rPr>
        <w:t>㎡计提新增建设用地有偿使用费，按净收益</w:t>
      </w:r>
      <w:r>
        <w:rPr>
          <w:rFonts w:ascii="Times New Roman" w:hAnsi="Times New Roman"/>
          <w:szCs w:val="32"/>
        </w:rPr>
        <w:t>10%</w:t>
      </w:r>
      <w:r>
        <w:rPr>
          <w:rFonts w:ascii="Times New Roman" w:hAnsi="Times New Roman"/>
          <w:szCs w:val="32"/>
        </w:rPr>
        <w:t>分别计提农田水利建设资金和教育资金。</w:t>
      </w:r>
    </w:p>
    <w:p w:rsidR="00C8273F" w:rsidRDefault="00CF6849">
      <w:pPr>
        <w:spacing w:line="579" w:lineRule="exact"/>
        <w:ind w:firstLine="645"/>
        <w:rPr>
          <w:rFonts w:ascii="Times New Roman" w:eastAsia="黑体" w:hAnsi="Times New Roman"/>
          <w:szCs w:val="32"/>
        </w:rPr>
      </w:pPr>
      <w:r>
        <w:rPr>
          <w:rFonts w:ascii="Times New Roman" w:eastAsia="黑体" w:hAnsi="Times New Roman"/>
          <w:szCs w:val="32"/>
        </w:rPr>
        <w:t>三、规范收支管理</w:t>
      </w:r>
    </w:p>
    <w:p w:rsidR="00C8273F" w:rsidRDefault="00CF6849">
      <w:pPr>
        <w:spacing w:line="579" w:lineRule="exact"/>
        <w:ind w:firstLine="645"/>
        <w:rPr>
          <w:rFonts w:ascii="Times New Roman" w:hAnsi="Times New Roman"/>
          <w:szCs w:val="32"/>
        </w:rPr>
      </w:pPr>
      <w:r>
        <w:rPr>
          <w:rFonts w:ascii="Times New Roman" w:hAnsi="Times New Roman"/>
          <w:szCs w:val="32"/>
        </w:rPr>
        <w:t>土地出让收支全额纳入地方基金预算，各镇（园区、街道）土地出让收入中用于支持乡村振兴、被征地农民社会保障资金等各项支出</w:t>
      </w:r>
      <w:r>
        <w:rPr>
          <w:rFonts w:ascii="Times New Roman" w:hAnsi="Times New Roman"/>
          <w:szCs w:val="32"/>
        </w:rPr>
        <w:t>应通过本级财政基金预算安排</w:t>
      </w:r>
      <w:r>
        <w:rPr>
          <w:rFonts w:ascii="Times New Roman" w:hAnsi="Times New Roman"/>
          <w:szCs w:val="32"/>
        </w:rPr>
        <w:t>，并建立健全专项</w:t>
      </w:r>
      <w:proofErr w:type="gramStart"/>
      <w:r>
        <w:rPr>
          <w:rFonts w:ascii="Times New Roman" w:hAnsi="Times New Roman"/>
          <w:szCs w:val="32"/>
        </w:rPr>
        <w:t>核算台</w:t>
      </w:r>
      <w:proofErr w:type="gramEnd"/>
      <w:r>
        <w:rPr>
          <w:rFonts w:ascii="Times New Roman" w:hAnsi="Times New Roman"/>
          <w:szCs w:val="32"/>
        </w:rPr>
        <w:t>账，接受相关部门审计监督。</w:t>
      </w:r>
    </w:p>
    <w:p w:rsidR="00C8273F" w:rsidRDefault="00CF6849">
      <w:pPr>
        <w:spacing w:line="579" w:lineRule="exact"/>
        <w:ind w:firstLine="645"/>
        <w:rPr>
          <w:rFonts w:ascii="Times New Roman" w:hAnsi="Times New Roman"/>
          <w:szCs w:val="32"/>
        </w:rPr>
      </w:pPr>
      <w:r>
        <w:rPr>
          <w:rFonts w:ascii="Times New Roman" w:hAnsi="Times New Roman"/>
          <w:szCs w:val="32"/>
        </w:rPr>
        <w:t>本实施意见</w:t>
      </w:r>
      <w:bookmarkStart w:id="4" w:name="_GoBack"/>
      <w:bookmarkEnd w:id="4"/>
      <w:r>
        <w:rPr>
          <w:rFonts w:ascii="Times New Roman" w:hAnsi="Times New Roman"/>
          <w:szCs w:val="32"/>
        </w:rPr>
        <w:t>自</w:t>
      </w:r>
      <w:r>
        <w:rPr>
          <w:rFonts w:ascii="Times New Roman" w:hAnsi="Times New Roman"/>
          <w:szCs w:val="32"/>
        </w:rPr>
        <w:t>2024</w:t>
      </w:r>
      <w:r>
        <w:rPr>
          <w:rFonts w:ascii="Times New Roman" w:hAnsi="Times New Roman"/>
          <w:szCs w:val="32"/>
        </w:rPr>
        <w:t>年</w:t>
      </w:r>
      <w:r>
        <w:rPr>
          <w:rFonts w:ascii="Times New Roman" w:hAnsi="Times New Roman"/>
          <w:szCs w:val="32"/>
        </w:rPr>
        <w:t>1</w:t>
      </w:r>
      <w:r>
        <w:rPr>
          <w:rFonts w:ascii="Times New Roman" w:hAnsi="Times New Roman"/>
          <w:szCs w:val="32"/>
        </w:rPr>
        <w:t>月</w:t>
      </w:r>
      <w:r>
        <w:rPr>
          <w:rFonts w:ascii="Times New Roman" w:hAnsi="Times New Roman"/>
          <w:szCs w:val="32"/>
        </w:rPr>
        <w:t>1</w:t>
      </w:r>
      <w:r>
        <w:rPr>
          <w:rFonts w:ascii="Times New Roman" w:hAnsi="Times New Roman"/>
          <w:szCs w:val="32"/>
        </w:rPr>
        <w:t>日起执行，以前有关规定与本意见不一致的，以本意</w:t>
      </w:r>
      <w:r>
        <w:rPr>
          <w:rFonts w:ascii="Times New Roman" w:hAnsi="Times New Roman"/>
          <w:szCs w:val="32"/>
        </w:rPr>
        <w:t>见为准。如上级文件另有规定的，以上级文件为准。</w:t>
      </w:r>
    </w:p>
    <w:p w:rsidR="00C8273F" w:rsidRDefault="00C8273F">
      <w:pPr>
        <w:spacing w:line="579" w:lineRule="exact"/>
        <w:ind w:firstLine="645"/>
        <w:rPr>
          <w:rFonts w:ascii="Times New Roman" w:hAnsi="Times New Roman"/>
          <w:szCs w:val="32"/>
        </w:rPr>
      </w:pPr>
    </w:p>
    <w:p w:rsidR="00C8273F" w:rsidRDefault="00C8273F">
      <w:pPr>
        <w:spacing w:line="579" w:lineRule="exact"/>
        <w:ind w:firstLine="645"/>
        <w:rPr>
          <w:rFonts w:ascii="Times New Roman" w:eastAsia="方正仿宋_GBK" w:hAnsi="Times New Roman"/>
          <w:szCs w:val="32"/>
        </w:rPr>
      </w:pPr>
    </w:p>
    <w:p w:rsidR="00C8273F" w:rsidRDefault="00C8273F">
      <w:pPr>
        <w:spacing w:line="579" w:lineRule="exact"/>
        <w:ind w:firstLine="645"/>
        <w:rPr>
          <w:rFonts w:ascii="Times New Roman" w:eastAsia="方正仿宋_GBK" w:hAnsi="Times New Roman"/>
          <w:szCs w:val="32"/>
        </w:rPr>
      </w:pPr>
    </w:p>
    <w:p w:rsidR="00C8273F" w:rsidRDefault="00C8273F">
      <w:pPr>
        <w:spacing w:line="579" w:lineRule="exact"/>
        <w:ind w:firstLine="645"/>
        <w:rPr>
          <w:rFonts w:ascii="Times New Roman" w:eastAsia="方正仿宋_GBK" w:hAnsi="Times New Roman"/>
          <w:szCs w:val="32"/>
        </w:rPr>
      </w:pPr>
    </w:p>
    <w:p w:rsidR="00C8273F" w:rsidRDefault="00C8273F">
      <w:pPr>
        <w:spacing w:line="579" w:lineRule="exact"/>
        <w:ind w:firstLine="645"/>
        <w:rPr>
          <w:rFonts w:ascii="Times New Roman" w:eastAsia="方正仿宋_GBK" w:hAnsi="Times New Roman"/>
          <w:szCs w:val="32"/>
        </w:rPr>
      </w:pPr>
    </w:p>
    <w:p w:rsidR="00C8273F" w:rsidRDefault="00C8273F">
      <w:pPr>
        <w:spacing w:line="579" w:lineRule="exact"/>
        <w:ind w:firstLine="645"/>
        <w:rPr>
          <w:rFonts w:ascii="Times New Roman" w:eastAsia="方正仿宋_GBK" w:hAnsi="Times New Roman"/>
          <w:szCs w:val="32"/>
        </w:rPr>
      </w:pPr>
    </w:p>
    <w:p w:rsidR="00C8273F" w:rsidRDefault="00C8273F">
      <w:pPr>
        <w:spacing w:line="579" w:lineRule="exact"/>
        <w:ind w:firstLine="645"/>
        <w:rPr>
          <w:rFonts w:ascii="Times New Roman" w:eastAsia="方正仿宋_GBK" w:hAnsi="Times New Roman"/>
          <w:szCs w:val="32"/>
        </w:rPr>
      </w:pPr>
    </w:p>
    <w:p w:rsidR="00C8273F" w:rsidRDefault="00C8273F">
      <w:pPr>
        <w:spacing w:line="579" w:lineRule="exact"/>
        <w:ind w:firstLine="645"/>
        <w:rPr>
          <w:rFonts w:ascii="Times New Roman" w:eastAsia="方正仿宋_GBK" w:hAnsi="Times New Roman"/>
          <w:szCs w:val="32"/>
        </w:rPr>
      </w:pPr>
    </w:p>
    <w:p w:rsidR="00C8273F" w:rsidRDefault="00C8273F">
      <w:pPr>
        <w:spacing w:line="579" w:lineRule="exact"/>
        <w:ind w:firstLine="645"/>
        <w:rPr>
          <w:rFonts w:ascii="Times New Roman" w:eastAsia="方正仿宋_GBK" w:hAnsi="Times New Roman"/>
          <w:szCs w:val="32"/>
        </w:rPr>
      </w:pPr>
    </w:p>
    <w:p w:rsidR="00C8273F" w:rsidRDefault="00C8273F">
      <w:pPr>
        <w:spacing w:line="579" w:lineRule="exact"/>
        <w:ind w:firstLine="645"/>
        <w:rPr>
          <w:rFonts w:ascii="Times New Roman" w:eastAsia="方正仿宋_GBK" w:hAnsi="Times New Roman"/>
          <w:szCs w:val="32"/>
        </w:rPr>
      </w:pPr>
    </w:p>
    <w:p w:rsidR="00C8273F" w:rsidRDefault="00C8273F">
      <w:pPr>
        <w:spacing w:line="579" w:lineRule="exact"/>
        <w:ind w:firstLine="645"/>
        <w:rPr>
          <w:rFonts w:ascii="Times New Roman" w:eastAsia="方正仿宋_GBK" w:hAnsi="Times New Roman"/>
          <w:szCs w:val="32"/>
        </w:rPr>
      </w:pPr>
    </w:p>
    <w:p w:rsidR="00C8273F" w:rsidRDefault="00C8273F">
      <w:pPr>
        <w:spacing w:line="579" w:lineRule="exact"/>
        <w:ind w:firstLine="645"/>
        <w:rPr>
          <w:rFonts w:ascii="Times New Roman" w:eastAsia="方正仿宋_GBK" w:hAnsi="Times New Roman"/>
          <w:szCs w:val="32"/>
        </w:rPr>
      </w:pPr>
    </w:p>
    <w:p w:rsidR="00C8273F" w:rsidRDefault="00C8273F">
      <w:pPr>
        <w:spacing w:line="579" w:lineRule="exact"/>
        <w:ind w:firstLine="645"/>
        <w:rPr>
          <w:rFonts w:ascii="Times New Roman" w:eastAsia="方正仿宋_GBK" w:hAnsi="Times New Roman"/>
          <w:szCs w:val="32"/>
        </w:rPr>
      </w:pPr>
    </w:p>
    <w:p w:rsidR="00C8273F" w:rsidRDefault="00C8273F">
      <w:pPr>
        <w:spacing w:line="579" w:lineRule="exact"/>
        <w:ind w:firstLine="645"/>
        <w:rPr>
          <w:rFonts w:ascii="Times New Roman" w:eastAsia="方正仿宋_GBK" w:hAnsi="Times New Roman"/>
          <w:szCs w:val="32"/>
        </w:rPr>
      </w:pPr>
    </w:p>
    <w:p w:rsidR="00C8273F" w:rsidRDefault="00C8273F">
      <w:pPr>
        <w:spacing w:line="579" w:lineRule="exact"/>
        <w:ind w:firstLine="645"/>
        <w:rPr>
          <w:rFonts w:ascii="Times New Roman" w:eastAsia="方正仿宋_GBK" w:hAnsi="Times New Roman"/>
          <w:szCs w:val="32"/>
        </w:rPr>
      </w:pPr>
    </w:p>
    <w:p w:rsidR="00C8273F" w:rsidRDefault="00C8273F">
      <w:pPr>
        <w:spacing w:line="579" w:lineRule="exact"/>
        <w:ind w:firstLine="645"/>
        <w:rPr>
          <w:rFonts w:ascii="Times New Roman" w:eastAsia="方正仿宋_GBK" w:hAnsi="Times New Roman"/>
          <w:szCs w:val="32"/>
        </w:rPr>
      </w:pPr>
    </w:p>
    <w:p w:rsidR="00C8273F" w:rsidRDefault="00C8273F">
      <w:pPr>
        <w:spacing w:line="579" w:lineRule="exact"/>
        <w:ind w:firstLine="645"/>
        <w:rPr>
          <w:rFonts w:ascii="Times New Roman" w:eastAsia="方正仿宋_GBK" w:hAnsi="Times New Roman"/>
          <w:szCs w:val="32"/>
        </w:rPr>
      </w:pPr>
    </w:p>
    <w:bookmarkEnd w:id="1"/>
    <w:p w:rsidR="00C8273F" w:rsidRDefault="00C8273F"/>
    <w:p w:rsidR="00C8273F" w:rsidRDefault="00C8273F"/>
    <w:p w:rsidR="00C8273F" w:rsidRDefault="00C8273F"/>
    <w:sectPr w:rsidR="00C8273F" w:rsidSect="00C8273F">
      <w:headerReference w:type="default" r:id="rId7"/>
      <w:footerReference w:type="even" r:id="rId8"/>
      <w:footerReference w:type="default" r:id="rId9"/>
      <w:pgSz w:w="11906" w:h="16838"/>
      <w:pgMar w:top="1701" w:right="1587" w:bottom="1701"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849" w:rsidRDefault="00CF6849" w:rsidP="00C8273F">
      <w:r>
        <w:separator/>
      </w:r>
    </w:p>
  </w:endnote>
  <w:endnote w:type="continuationSeparator" w:id="0">
    <w:p w:rsidR="00CF6849" w:rsidRDefault="00CF6849" w:rsidP="00C827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3F" w:rsidRDefault="00C8273F">
    <w:pPr>
      <w:pStyle w:val="a4"/>
      <w:framePr w:wrap="around" w:vAnchor="text" w:hAnchor="margin" w:xAlign="right" w:y="1"/>
      <w:rPr>
        <w:rStyle w:val="a9"/>
      </w:rPr>
    </w:pPr>
    <w:r>
      <w:fldChar w:fldCharType="begin"/>
    </w:r>
    <w:r w:rsidR="00CF6849">
      <w:rPr>
        <w:rStyle w:val="a9"/>
      </w:rPr>
      <w:instrText xml:space="preserve">PAGE  </w:instrText>
    </w:r>
    <w:r>
      <w:fldChar w:fldCharType="end"/>
    </w:r>
  </w:p>
  <w:p w:rsidR="00C8273F" w:rsidRDefault="00C8273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3F" w:rsidRDefault="00C8273F">
    <w:pPr>
      <w:pStyle w:val="a4"/>
      <w:ind w:right="360"/>
      <w:jc w:val="center"/>
    </w:pPr>
    <w:r>
      <w:pict>
        <v:shapetype id="_x0000_t202" coordsize="21600,21600" o:spt="202" path="m,l,21600r21600,l21600,xe">
          <v:stroke joinstyle="miter"/>
          <v:path gradientshapeok="t" o:connecttype="rect"/>
        </v:shapetype>
        <v:shape id="文本框 2050" o:spid="_x0000_s4097" type="#_x0000_t202" style="position:absolute;left:0;text-align:left;margin-left:104pt;margin-top:0;width:2in;height:2in;z-index:251659264;mso-wrap-style:none;mso-position-horizontal:outside;mso-position-horizontal-relative:margin" filled="f" stroked="f">
          <v:textbox style="mso-fit-shape-to-text:t" inset="0,0,0,0">
            <w:txbxContent>
              <w:p w:rsidR="00C8273F" w:rsidRDefault="00CF6849">
                <w:pPr>
                  <w:pStyle w:val="a4"/>
                  <w:rPr>
                    <w:rFonts w:ascii="新宋体" w:eastAsia="新宋体" w:hAnsi="新宋体" w:cs="新宋体"/>
                    <w:sz w:val="28"/>
                    <w:szCs w:val="28"/>
                  </w:rPr>
                </w:pPr>
                <w:r>
                  <w:rPr>
                    <w:rFonts w:ascii="新宋体" w:eastAsia="新宋体" w:hAnsi="新宋体" w:cs="新宋体" w:hint="eastAsia"/>
                    <w:sz w:val="28"/>
                    <w:szCs w:val="28"/>
                  </w:rPr>
                  <w:t>—</w:t>
                </w:r>
                <w:r>
                  <w:rPr>
                    <w:rFonts w:ascii="新宋体" w:eastAsia="新宋体" w:hAnsi="新宋体" w:cs="新宋体" w:hint="eastAsia"/>
                    <w:sz w:val="28"/>
                    <w:szCs w:val="28"/>
                  </w:rPr>
                  <w:t xml:space="preserve"> </w:t>
                </w:r>
                <w:r w:rsidR="00C8273F">
                  <w:rPr>
                    <w:rFonts w:ascii="新宋体" w:eastAsia="新宋体" w:hAnsi="新宋体" w:cs="新宋体" w:hint="eastAsia"/>
                    <w:sz w:val="28"/>
                    <w:szCs w:val="28"/>
                  </w:rPr>
                  <w:fldChar w:fldCharType="begin"/>
                </w:r>
                <w:r>
                  <w:rPr>
                    <w:rFonts w:ascii="新宋体" w:eastAsia="新宋体" w:hAnsi="新宋体" w:cs="新宋体" w:hint="eastAsia"/>
                    <w:sz w:val="28"/>
                    <w:szCs w:val="28"/>
                  </w:rPr>
                  <w:instrText xml:space="preserve"> PAGE  \* MERGEFORMAT </w:instrText>
                </w:r>
                <w:r w:rsidR="00C8273F">
                  <w:rPr>
                    <w:rFonts w:ascii="新宋体" w:eastAsia="新宋体" w:hAnsi="新宋体" w:cs="新宋体" w:hint="eastAsia"/>
                    <w:sz w:val="28"/>
                    <w:szCs w:val="28"/>
                  </w:rPr>
                  <w:fldChar w:fldCharType="separate"/>
                </w:r>
                <w:r w:rsidR="00B5041B">
                  <w:rPr>
                    <w:rFonts w:ascii="新宋体" w:eastAsia="新宋体" w:hAnsi="新宋体" w:cs="新宋体"/>
                    <w:noProof/>
                    <w:sz w:val="28"/>
                    <w:szCs w:val="28"/>
                  </w:rPr>
                  <w:t>1</w:t>
                </w:r>
                <w:r w:rsidR="00C8273F">
                  <w:rPr>
                    <w:rFonts w:ascii="新宋体" w:eastAsia="新宋体" w:hAnsi="新宋体" w:cs="新宋体" w:hint="eastAsia"/>
                    <w:sz w:val="28"/>
                    <w:szCs w:val="28"/>
                  </w:rPr>
                  <w:fldChar w:fldCharType="end"/>
                </w:r>
                <w:r>
                  <w:rPr>
                    <w:rFonts w:ascii="新宋体" w:eastAsia="新宋体" w:hAnsi="新宋体" w:cs="新宋体" w:hint="eastAsia"/>
                    <w:sz w:val="28"/>
                    <w:szCs w:val="28"/>
                  </w:rPr>
                  <w:t xml:space="preserve"> </w:t>
                </w:r>
                <w:r>
                  <w:rPr>
                    <w:rFonts w:ascii="新宋体" w:eastAsia="新宋体" w:hAnsi="新宋体" w:cs="新宋体" w:hint="eastAsia"/>
                    <w:sz w:val="28"/>
                    <w:szCs w:val="28"/>
                  </w:rPr>
                  <w:t>—</w:t>
                </w:r>
              </w:p>
            </w:txbxContent>
          </v:textbox>
          <w10:wrap anchorx="margin"/>
        </v:shape>
      </w:pict>
    </w:r>
  </w:p>
  <w:p w:rsidR="00C8273F" w:rsidRDefault="00C8273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849" w:rsidRDefault="00CF6849" w:rsidP="00C8273F">
      <w:r>
        <w:separator/>
      </w:r>
    </w:p>
  </w:footnote>
  <w:footnote w:type="continuationSeparator" w:id="0">
    <w:p w:rsidR="00CF6849" w:rsidRDefault="00CF6849" w:rsidP="00C827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3F" w:rsidRDefault="00C8273F">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hlNzcxYmNkMTVmZWVkNDMzZWI1NmViYjQyNGI5ZjAifQ=="/>
  </w:docVars>
  <w:rsids>
    <w:rsidRoot w:val="00CF433D"/>
    <w:rsid w:val="00001D2A"/>
    <w:rsid w:val="00020218"/>
    <w:rsid w:val="00065241"/>
    <w:rsid w:val="00090F7A"/>
    <w:rsid w:val="000B0809"/>
    <w:rsid w:val="000B6A44"/>
    <w:rsid w:val="000D104A"/>
    <w:rsid w:val="00145E29"/>
    <w:rsid w:val="00197DA3"/>
    <w:rsid w:val="001C56F8"/>
    <w:rsid w:val="0022741B"/>
    <w:rsid w:val="00297288"/>
    <w:rsid w:val="002A7245"/>
    <w:rsid w:val="002D42AB"/>
    <w:rsid w:val="00342A08"/>
    <w:rsid w:val="003816BD"/>
    <w:rsid w:val="00390F9A"/>
    <w:rsid w:val="00394F2B"/>
    <w:rsid w:val="004202CE"/>
    <w:rsid w:val="00475819"/>
    <w:rsid w:val="004F619C"/>
    <w:rsid w:val="006121E4"/>
    <w:rsid w:val="0065426E"/>
    <w:rsid w:val="00662D47"/>
    <w:rsid w:val="006B5D90"/>
    <w:rsid w:val="006C12CD"/>
    <w:rsid w:val="00700721"/>
    <w:rsid w:val="00703F7D"/>
    <w:rsid w:val="007131D9"/>
    <w:rsid w:val="00732579"/>
    <w:rsid w:val="0074146F"/>
    <w:rsid w:val="00745D5A"/>
    <w:rsid w:val="00753849"/>
    <w:rsid w:val="007A6A36"/>
    <w:rsid w:val="00802E4F"/>
    <w:rsid w:val="008034EF"/>
    <w:rsid w:val="008247CD"/>
    <w:rsid w:val="00835E9B"/>
    <w:rsid w:val="00873D48"/>
    <w:rsid w:val="008A0A3A"/>
    <w:rsid w:val="008A74F6"/>
    <w:rsid w:val="008D62FE"/>
    <w:rsid w:val="009330D8"/>
    <w:rsid w:val="00937136"/>
    <w:rsid w:val="00940924"/>
    <w:rsid w:val="0096529A"/>
    <w:rsid w:val="009C13E9"/>
    <w:rsid w:val="009C302F"/>
    <w:rsid w:val="00A26BA3"/>
    <w:rsid w:val="00A3520D"/>
    <w:rsid w:val="00AB38B8"/>
    <w:rsid w:val="00B5041B"/>
    <w:rsid w:val="00B54F78"/>
    <w:rsid w:val="00B65A9E"/>
    <w:rsid w:val="00C1443F"/>
    <w:rsid w:val="00C8273F"/>
    <w:rsid w:val="00CA6C16"/>
    <w:rsid w:val="00CE203B"/>
    <w:rsid w:val="00CF433D"/>
    <w:rsid w:val="00CF6849"/>
    <w:rsid w:val="00D46E95"/>
    <w:rsid w:val="00DF39BB"/>
    <w:rsid w:val="00E77210"/>
    <w:rsid w:val="00E8229D"/>
    <w:rsid w:val="00E91D0E"/>
    <w:rsid w:val="00F121FD"/>
    <w:rsid w:val="00F54447"/>
    <w:rsid w:val="00F82425"/>
    <w:rsid w:val="00FA1D80"/>
    <w:rsid w:val="00FC245E"/>
    <w:rsid w:val="00FD0487"/>
    <w:rsid w:val="00FE1E40"/>
    <w:rsid w:val="00FF3EB0"/>
    <w:rsid w:val="1E1F2D21"/>
    <w:rsid w:val="294423A8"/>
    <w:rsid w:val="2E26730E"/>
    <w:rsid w:val="2F682049"/>
    <w:rsid w:val="36887CA6"/>
    <w:rsid w:val="3FBB6F9C"/>
    <w:rsid w:val="45DE4E6B"/>
    <w:rsid w:val="57E50AB8"/>
    <w:rsid w:val="5922721A"/>
    <w:rsid w:val="5B927937"/>
    <w:rsid w:val="633678D4"/>
    <w:rsid w:val="67596676"/>
    <w:rsid w:val="6E8F57AD"/>
    <w:rsid w:val="774B06E8"/>
    <w:rsid w:val="794C21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273F"/>
    <w:pPr>
      <w:widowControl w:val="0"/>
      <w:jc w:val="both"/>
    </w:pPr>
    <w:rPr>
      <w:rFonts w:ascii="Calibri" w:eastAsia="仿宋_GB2312" w:hAnsi="Calibri" w:cs="Times New Roman"/>
      <w:kern w:val="2"/>
      <w:sz w:val="32"/>
      <w:szCs w:val="24"/>
    </w:rPr>
  </w:style>
  <w:style w:type="paragraph" w:styleId="2">
    <w:name w:val="heading 2"/>
    <w:basedOn w:val="a"/>
    <w:next w:val="a"/>
    <w:semiHidden/>
    <w:unhideWhenUsed/>
    <w:qFormat/>
    <w:rsid w:val="00C8273F"/>
    <w:pPr>
      <w:keepNext/>
      <w:keepLines/>
      <w:spacing w:before="260" w:after="260" w:line="413" w:lineRule="auto"/>
      <w:outlineLvl w:val="1"/>
    </w:pPr>
    <w:rPr>
      <w:rFonts w:ascii="Arial" w:eastAsia="黑体" w:hAnsi="Arial"/>
      <w:b/>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8273F"/>
    <w:rPr>
      <w:rFonts w:ascii="宋体" w:eastAsia="宋体" w:hAnsi="宋体" w:cs="宋体"/>
      <w:szCs w:val="32"/>
    </w:rPr>
  </w:style>
  <w:style w:type="paragraph" w:styleId="a4">
    <w:name w:val="footer"/>
    <w:basedOn w:val="a"/>
    <w:link w:val="Char"/>
    <w:qFormat/>
    <w:rsid w:val="00C8273F"/>
    <w:pPr>
      <w:tabs>
        <w:tab w:val="center" w:pos="4153"/>
        <w:tab w:val="right" w:pos="8306"/>
      </w:tabs>
      <w:snapToGrid w:val="0"/>
      <w:jc w:val="left"/>
    </w:pPr>
    <w:rPr>
      <w:sz w:val="18"/>
      <w:szCs w:val="18"/>
    </w:rPr>
  </w:style>
  <w:style w:type="paragraph" w:styleId="a5">
    <w:name w:val="header"/>
    <w:basedOn w:val="a"/>
    <w:qFormat/>
    <w:rsid w:val="00C8273F"/>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C8273F"/>
    <w:pPr>
      <w:widowControl/>
      <w:spacing w:before="100" w:beforeAutospacing="1" w:after="100" w:afterAutospacing="1"/>
      <w:jc w:val="left"/>
    </w:pPr>
    <w:rPr>
      <w:rFonts w:ascii="宋体" w:eastAsia="宋体" w:hAnsi="宋体" w:cs="宋体"/>
      <w:kern w:val="0"/>
      <w:sz w:val="24"/>
    </w:rPr>
  </w:style>
  <w:style w:type="paragraph" w:styleId="a7">
    <w:name w:val="Title"/>
    <w:basedOn w:val="a"/>
    <w:qFormat/>
    <w:rsid w:val="00C8273F"/>
    <w:pPr>
      <w:spacing w:before="29"/>
      <w:ind w:left="274"/>
    </w:pPr>
    <w:rPr>
      <w:rFonts w:ascii="宋体" w:eastAsia="宋体" w:hAnsi="宋体" w:cs="宋体"/>
      <w:sz w:val="144"/>
      <w:szCs w:val="144"/>
    </w:rPr>
  </w:style>
  <w:style w:type="character" w:styleId="a8">
    <w:name w:val="Strong"/>
    <w:qFormat/>
    <w:rsid w:val="00C8273F"/>
    <w:rPr>
      <w:rFonts w:ascii="Calibri" w:eastAsia="宋体" w:hAnsi="Calibri" w:cs="Times New Roman"/>
      <w:b/>
      <w:bCs/>
    </w:rPr>
  </w:style>
  <w:style w:type="character" w:styleId="a9">
    <w:name w:val="page number"/>
    <w:basedOn w:val="a0"/>
    <w:qFormat/>
    <w:rsid w:val="00C8273F"/>
    <w:rPr>
      <w:rFonts w:ascii="Calibri" w:eastAsia="宋体" w:hAnsi="Calibri" w:cs="Times New Roman"/>
    </w:rPr>
  </w:style>
  <w:style w:type="character" w:customStyle="1" w:styleId="Char">
    <w:name w:val="页脚 Char"/>
    <w:link w:val="a4"/>
    <w:uiPriority w:val="99"/>
    <w:rsid w:val="00C8273F"/>
    <w:rPr>
      <w:rFonts w:ascii="Calibri" w:eastAsia="宋体" w:hAnsi="Calibri" w:cs="Times New Roman"/>
      <w:sz w:val="18"/>
      <w:szCs w:val="18"/>
    </w:rPr>
  </w:style>
  <w:style w:type="paragraph" w:styleId="aa">
    <w:name w:val="List Paragraph"/>
    <w:basedOn w:val="a"/>
    <w:uiPriority w:val="99"/>
    <w:qFormat/>
    <w:rsid w:val="00C8273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185</Words>
  <Characters>1055</Characters>
  <Application>Microsoft Office Word</Application>
  <DocSecurity>0</DocSecurity>
  <Lines>8</Lines>
  <Paragraphs>2</Paragraphs>
  <ScaleCrop>false</ScaleCrop>
  <Company>微软中国</Company>
  <LinksUpToDate>false</LinksUpToDate>
  <CharactersWithSpaces>1238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蒋超</dc:creator>
  <cp:lastModifiedBy>微软用户</cp:lastModifiedBy>
  <cp:revision>2</cp:revision>
  <dcterms:created xsi:type="dcterms:W3CDTF">2022-06-14T05:26:00Z</dcterms:created>
  <dcterms:modified xsi:type="dcterms:W3CDTF">2024-10-24T06:08:00Z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48F325845B1646759F712FD89689EA5B</vt:lpwstr>
  </property>
</Properties>
</file>