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99" w:rsidRDefault="00EF5299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3"/>
          <w:kern w:val="4"/>
          <w:sz w:val="144"/>
          <w:szCs w:val="144"/>
        </w:rPr>
      </w:pPr>
    </w:p>
    <w:p w:rsidR="00EF5299" w:rsidRDefault="00EF5299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20"/>
          <w:kern w:val="4"/>
          <w:sz w:val="82"/>
          <w:szCs w:val="82"/>
        </w:rPr>
      </w:pPr>
    </w:p>
    <w:p w:rsidR="00EF5299" w:rsidRDefault="00EF5299">
      <w:pPr>
        <w:jc w:val="center"/>
        <w:rPr>
          <w:rFonts w:ascii="楷体_GB2312" w:eastAsia="楷体_GB2312" w:hAnsi="楷体"/>
          <w:szCs w:val="32"/>
        </w:rPr>
      </w:pPr>
    </w:p>
    <w:p w:rsidR="00EF5299" w:rsidRDefault="00FA49F1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</w:t>
      </w:r>
      <w:proofErr w:type="gramStart"/>
      <w:r>
        <w:rPr>
          <w:rFonts w:ascii="楷体_GB2312" w:eastAsia="楷体_GB2312" w:hAnsi="楷体" w:hint="eastAsia"/>
          <w:sz w:val="32"/>
          <w:szCs w:val="32"/>
        </w:rPr>
        <w:t>规</w:t>
      </w:r>
      <w:proofErr w:type="gramEnd"/>
      <w:r>
        <w:rPr>
          <w:rFonts w:ascii="楷体_GB2312" w:eastAsia="楷体_GB2312" w:hAnsi="楷体" w:hint="eastAsia"/>
          <w:sz w:val="32"/>
          <w:szCs w:val="32"/>
        </w:rPr>
        <w:t>发〔</w:t>
      </w:r>
      <w:r>
        <w:rPr>
          <w:rFonts w:ascii="楷体_GB2312" w:eastAsia="楷体_GB2312" w:hAnsi="楷体" w:hint="eastAsia"/>
          <w:sz w:val="32"/>
          <w:szCs w:val="32"/>
        </w:rPr>
        <w:t>2024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4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EF5299" w:rsidRDefault="00EF5299">
      <w:pPr>
        <w:jc w:val="center"/>
        <w:rPr>
          <w:rFonts w:ascii="楷体_GB2312" w:eastAsia="楷体_GB2312" w:hAnsi="楷体"/>
          <w:sz w:val="32"/>
          <w:szCs w:val="32"/>
        </w:rPr>
      </w:pPr>
    </w:p>
    <w:p w:rsidR="00EF5299" w:rsidRDefault="00EF5299"/>
    <w:p w:rsidR="00EF5299" w:rsidRDefault="00FA49F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1" w:name="quanwen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市政府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关于重新公布宜兴市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征地区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片</w:t>
      </w:r>
    </w:p>
    <w:p w:rsidR="00EF5299" w:rsidRDefault="00FA49F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综合地价标准的通知</w:t>
      </w:r>
    </w:p>
    <w:p w:rsidR="00EF5299" w:rsidRDefault="00EF5299">
      <w:pPr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</w:p>
    <w:p w:rsidR="00EF5299" w:rsidRDefault="00FA49F1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各开发区管委会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管理办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，各镇人民政府，各街道办事处，市各委办局，市各直属单位：</w:t>
      </w:r>
    </w:p>
    <w:p w:rsidR="00EF5299" w:rsidRDefault="00FA49F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为落实《中华人民共和国土地管理法》规定，维护被征地农民和农村集体经济组织的合法权益，保障土地征收工作顺利进行，结合宜兴市经济社会发展实际情况，宜兴市政府决定重新公布</w:t>
      </w:r>
      <w:proofErr w:type="gramStart"/>
      <w:r>
        <w:rPr>
          <w:rFonts w:eastAsia="仿宋_GB2312"/>
          <w:sz w:val="32"/>
          <w:szCs w:val="32"/>
        </w:rPr>
        <w:t>征地区片综合</w:t>
      </w:r>
      <w:proofErr w:type="gramEnd"/>
      <w:r>
        <w:rPr>
          <w:rFonts w:eastAsia="仿宋_GB2312"/>
          <w:sz w:val="32"/>
          <w:szCs w:val="32"/>
        </w:rPr>
        <w:t>地价标准。现将有关事项通知如下：</w:t>
      </w:r>
    </w:p>
    <w:p w:rsidR="00EF5299" w:rsidRDefault="00FA49F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一、征收集体农用地的</w:t>
      </w:r>
      <w:proofErr w:type="gramStart"/>
      <w:r>
        <w:rPr>
          <w:rFonts w:eastAsia="仿宋_GB2312"/>
          <w:sz w:val="32"/>
          <w:szCs w:val="32"/>
        </w:rPr>
        <w:t>征地区片综合</w:t>
      </w:r>
      <w:proofErr w:type="gramEnd"/>
      <w:r>
        <w:rPr>
          <w:rFonts w:eastAsia="仿宋_GB2312"/>
          <w:sz w:val="32"/>
          <w:szCs w:val="32"/>
        </w:rPr>
        <w:t>地价由土地补偿费和安置补助费组成，不包括法律规定用于社会保险缴纳补贴的被征地农民社会保障费用、地上附着物和青苗等补偿费用。宜兴市划定一个区片，征收集体农用地的区</w:t>
      </w:r>
      <w:proofErr w:type="gramStart"/>
      <w:r>
        <w:rPr>
          <w:rFonts w:eastAsia="仿宋_GB2312"/>
          <w:sz w:val="32"/>
          <w:szCs w:val="32"/>
        </w:rPr>
        <w:t>片综合</w:t>
      </w:r>
      <w:proofErr w:type="gramEnd"/>
      <w:r>
        <w:rPr>
          <w:rFonts w:eastAsia="仿宋_GB2312"/>
          <w:sz w:val="32"/>
          <w:szCs w:val="32"/>
        </w:rPr>
        <w:t>地价为</w:t>
      </w:r>
      <w:r>
        <w:rPr>
          <w:rFonts w:eastAsia="仿宋_GB2312"/>
          <w:sz w:val="32"/>
          <w:szCs w:val="32"/>
        </w:rPr>
        <w:t>5.5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亩，土地补偿费</w:t>
      </w:r>
      <w:r>
        <w:rPr>
          <w:rFonts w:eastAsia="仿宋_GB2312"/>
          <w:sz w:val="32"/>
          <w:szCs w:val="32"/>
        </w:rPr>
        <w:t>2.75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亩，安置补助费</w:t>
      </w:r>
      <w:r>
        <w:rPr>
          <w:rFonts w:eastAsia="仿宋_GB2312"/>
          <w:sz w:val="32"/>
          <w:szCs w:val="32"/>
        </w:rPr>
        <w:t>2.75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人。</w:t>
      </w:r>
    </w:p>
    <w:p w:rsidR="00EF5299" w:rsidRDefault="00FA49F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二、征收集体建设用地参照</w:t>
      </w:r>
      <w:r>
        <w:rPr>
          <w:rFonts w:eastAsia="仿宋_GB2312"/>
          <w:sz w:val="32"/>
          <w:szCs w:val="32"/>
        </w:rPr>
        <w:t>所在区片征收集体</w:t>
      </w:r>
      <w:proofErr w:type="gramStart"/>
      <w:r>
        <w:rPr>
          <w:rFonts w:eastAsia="仿宋_GB2312"/>
          <w:sz w:val="32"/>
          <w:szCs w:val="32"/>
        </w:rPr>
        <w:t>农用地区片</w:t>
      </w:r>
      <w:r>
        <w:rPr>
          <w:rFonts w:eastAsia="仿宋_GB2312"/>
          <w:sz w:val="32"/>
          <w:szCs w:val="32"/>
        </w:rPr>
        <w:lastRenderedPageBreak/>
        <w:t>综合</w:t>
      </w:r>
      <w:proofErr w:type="gramEnd"/>
      <w:r>
        <w:rPr>
          <w:rFonts w:eastAsia="仿宋_GB2312"/>
          <w:sz w:val="32"/>
          <w:szCs w:val="32"/>
        </w:rPr>
        <w:t>地价标准执行。征收集体未利用地参照所在区片征收集体</w:t>
      </w:r>
      <w:proofErr w:type="gramStart"/>
      <w:r>
        <w:rPr>
          <w:rFonts w:eastAsia="仿宋_GB2312"/>
          <w:sz w:val="32"/>
          <w:szCs w:val="32"/>
        </w:rPr>
        <w:t>农用地区片综合</w:t>
      </w:r>
      <w:proofErr w:type="gramEnd"/>
      <w:r>
        <w:rPr>
          <w:rFonts w:eastAsia="仿宋_GB2312"/>
          <w:sz w:val="32"/>
          <w:szCs w:val="32"/>
        </w:rPr>
        <w:t>地价标准的</w:t>
      </w:r>
      <w:r>
        <w:rPr>
          <w:rFonts w:eastAsia="仿宋_GB2312"/>
          <w:sz w:val="32"/>
          <w:szCs w:val="32"/>
        </w:rPr>
        <w:t>0.7</w:t>
      </w:r>
      <w:r>
        <w:rPr>
          <w:rFonts w:eastAsia="仿宋_GB2312"/>
          <w:sz w:val="32"/>
          <w:szCs w:val="32"/>
        </w:rPr>
        <w:t>倍执行。征收依法取得的集体经营性建设用地，应当按照同地同权的要求，采用宗地地价评估的方式确定补偿标准。</w:t>
      </w:r>
    </w:p>
    <w:p w:rsidR="00EF5299" w:rsidRDefault="00FA49F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三、大中型水利、水电工程建设的征地补偿，原则上按照宜兴市规定的征地补偿标准执行，如国务院、省政府规定的标准高于宜兴市的，按国务院、省政府规定的标准执行。</w:t>
      </w:r>
    </w:p>
    <w:p w:rsidR="00EF5299" w:rsidRDefault="00FA49F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四、被征地农民社会保障费用的筹集、管理和使用办法，按《</w:t>
      </w:r>
      <w:r>
        <w:rPr>
          <w:rFonts w:eastAsia="仿宋_GB2312"/>
          <w:sz w:val="32"/>
          <w:szCs w:val="32"/>
        </w:rPr>
        <w:t>省政府关于印发江苏省被征地农民社会保障办法的通知</w:t>
      </w:r>
      <w:r>
        <w:rPr>
          <w:rFonts w:eastAsia="仿宋_GB2312"/>
          <w:sz w:val="32"/>
          <w:szCs w:val="32"/>
        </w:rPr>
        <w:t>》（苏政发〔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87</w:t>
      </w:r>
      <w:r>
        <w:rPr>
          <w:rFonts w:eastAsia="仿宋_GB2312"/>
          <w:sz w:val="32"/>
          <w:szCs w:val="32"/>
        </w:rPr>
        <w:t>号）、《无锡市人</w:t>
      </w:r>
      <w:r>
        <w:rPr>
          <w:rFonts w:eastAsia="仿宋_GB2312"/>
          <w:sz w:val="32"/>
          <w:szCs w:val="32"/>
        </w:rPr>
        <w:t>民政府关于贯彻落实江苏省被征地农民社会保障办法的实施意见》（锡政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〔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 xml:space="preserve">4 </w:t>
      </w:r>
      <w:r>
        <w:rPr>
          <w:rFonts w:eastAsia="仿宋_GB2312"/>
          <w:sz w:val="32"/>
          <w:szCs w:val="32"/>
        </w:rPr>
        <w:t>号）执行。</w:t>
      </w:r>
    </w:p>
    <w:p w:rsidR="00EF5299" w:rsidRDefault="00FA49F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五、征地补偿安置工作关系到广大被征地农民切身利益，各地、各有关单位要认真做好征地补偿工作，妥善解决征地实施过程中发现的问题，确保被征地农民原有生活不降低、长远生计有保障。</w:t>
      </w:r>
    </w:p>
    <w:p w:rsidR="00EF5299" w:rsidRDefault="00FA49F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本通知自发布之日起施行，</w:t>
      </w:r>
      <w:r>
        <w:rPr>
          <w:rFonts w:eastAsia="仿宋_GB2312"/>
          <w:sz w:val="32"/>
          <w:szCs w:val="32"/>
        </w:rPr>
        <w:t>有效期至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日。</w:t>
      </w:r>
      <w:r>
        <w:rPr>
          <w:rFonts w:eastAsia="仿宋_GB2312"/>
          <w:sz w:val="32"/>
          <w:szCs w:val="32"/>
        </w:rPr>
        <w:t>《市政府关于公布宜兴市征地区片综合地价的通知》（宜政发〔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217</w:t>
      </w:r>
      <w:r>
        <w:rPr>
          <w:rFonts w:eastAsia="仿宋_GB2312"/>
          <w:sz w:val="32"/>
          <w:szCs w:val="32"/>
        </w:rPr>
        <w:t>号）同时废止。</w:t>
      </w:r>
    </w:p>
    <w:p w:rsidR="00EF5299" w:rsidRDefault="00EF5299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EF5299" w:rsidRDefault="00EF5299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EF5299" w:rsidRDefault="00FA49F1">
      <w:pPr>
        <w:wordWrap w:val="0"/>
        <w:spacing w:line="520" w:lineRule="exact"/>
        <w:ind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　　　　　　　　　　　　　</w:t>
      </w:r>
      <w:r>
        <w:rPr>
          <w:rFonts w:eastAsia="仿宋_GB2312"/>
          <w:sz w:val="32"/>
          <w:szCs w:val="32"/>
        </w:rPr>
        <w:t>宜兴市人民政府</w:t>
      </w:r>
    </w:p>
    <w:p w:rsidR="00EF5299" w:rsidRDefault="00FA49F1">
      <w:pPr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　　　　　　　　　　　　　　　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</w:p>
    <w:p w:rsidR="00EF5299" w:rsidRDefault="00EF5299">
      <w:pPr>
        <w:rPr>
          <w:rFonts w:eastAsia="仿宋_GB2312"/>
        </w:rPr>
      </w:pPr>
    </w:p>
    <w:bookmarkEnd w:id="1"/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p w:rsidR="00EF5299" w:rsidRDefault="00EF5299">
      <w:pPr>
        <w:rPr>
          <w:rFonts w:eastAsia="仿宋_GB2312"/>
        </w:rPr>
      </w:pPr>
    </w:p>
    <w:sectPr w:rsidR="00EF5299" w:rsidSect="00EF5299">
      <w:footerReference w:type="default" r:id="rId7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9F1" w:rsidRDefault="00FA49F1" w:rsidP="00EF5299">
      <w:r>
        <w:separator/>
      </w:r>
    </w:p>
  </w:endnote>
  <w:endnote w:type="continuationSeparator" w:id="0">
    <w:p w:rsidR="00FA49F1" w:rsidRDefault="00FA49F1" w:rsidP="00EF5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6B9EF55-2145-4373-97E9-41F0A5CC4E2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  <w:embedRegular r:id="rId2" w:subsetted="1" w:fontKey="{92B2A43E-B487-48C5-B8C8-CA51FB481294}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EB8212A-2665-4CD9-A014-BD74D5DB519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299" w:rsidRDefault="00EF529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EF5299" w:rsidRDefault="00EF5299">
                <w:pPr>
                  <w:pStyle w:val="a3"/>
                </w:pPr>
                <w:r>
                  <w:fldChar w:fldCharType="begin"/>
                </w:r>
                <w:r w:rsidR="00FA49F1">
                  <w:instrText xml:space="preserve"> PAGE  \* MERGEFORMAT </w:instrText>
                </w:r>
                <w:r>
                  <w:fldChar w:fldCharType="separate"/>
                </w:r>
                <w:r w:rsidR="00056CB8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9F1" w:rsidRDefault="00FA49F1" w:rsidP="00EF5299">
      <w:r>
        <w:separator/>
      </w:r>
    </w:p>
  </w:footnote>
  <w:footnote w:type="continuationSeparator" w:id="0">
    <w:p w:rsidR="00FA49F1" w:rsidRDefault="00FA49F1" w:rsidP="00EF5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  <w:docVar w:name="KSO_WPS_MARK_KEY" w:val="7028240a-fd9e-4207-8117-26d2f43bd3ee"/>
  </w:docVars>
  <w:rsids>
    <w:rsidRoot w:val="00C30763"/>
    <w:rsid w:val="00056CB8"/>
    <w:rsid w:val="00426612"/>
    <w:rsid w:val="004348E0"/>
    <w:rsid w:val="00487040"/>
    <w:rsid w:val="00603AF0"/>
    <w:rsid w:val="00666466"/>
    <w:rsid w:val="0079294D"/>
    <w:rsid w:val="0088272C"/>
    <w:rsid w:val="008A0859"/>
    <w:rsid w:val="00A03C0A"/>
    <w:rsid w:val="00A1744F"/>
    <w:rsid w:val="00A67A9D"/>
    <w:rsid w:val="00AA0BF3"/>
    <w:rsid w:val="00AF5E13"/>
    <w:rsid w:val="00BA5039"/>
    <w:rsid w:val="00C30763"/>
    <w:rsid w:val="00D32139"/>
    <w:rsid w:val="00EF5299"/>
    <w:rsid w:val="00FA49F1"/>
    <w:rsid w:val="00FD5C68"/>
    <w:rsid w:val="018D4564"/>
    <w:rsid w:val="044620DF"/>
    <w:rsid w:val="0B381EF4"/>
    <w:rsid w:val="0F9067A2"/>
    <w:rsid w:val="16F73D3F"/>
    <w:rsid w:val="28E171A0"/>
    <w:rsid w:val="3DFE54D1"/>
    <w:rsid w:val="3E4D3644"/>
    <w:rsid w:val="4E6B4823"/>
    <w:rsid w:val="52103A21"/>
    <w:rsid w:val="54315E02"/>
    <w:rsid w:val="594C35C4"/>
    <w:rsid w:val="617924AD"/>
    <w:rsid w:val="675D0CC3"/>
    <w:rsid w:val="680C1F4B"/>
    <w:rsid w:val="681858C3"/>
    <w:rsid w:val="6A4229D5"/>
    <w:rsid w:val="6E3C0183"/>
    <w:rsid w:val="6F6A66CB"/>
    <w:rsid w:val="744048E0"/>
    <w:rsid w:val="7C6369A6"/>
    <w:rsid w:val="7E5F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Hyperlink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2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F5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F5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sid w:val="00EF5299"/>
    <w:rPr>
      <w:rFonts w:ascii="Times New Roman" w:eastAsia="宋体" w:hAnsi="Times New Roman" w:cs="Times New Roman"/>
      <w:b/>
      <w:bCs/>
    </w:rPr>
  </w:style>
  <w:style w:type="character" w:styleId="a6">
    <w:name w:val="page number"/>
    <w:basedOn w:val="a0"/>
    <w:qFormat/>
    <w:rsid w:val="00EF5299"/>
    <w:rPr>
      <w:rFonts w:ascii="Times New Roman" w:eastAsia="宋体" w:hAnsi="Times New Roman" w:cs="Times New Roman"/>
    </w:rPr>
  </w:style>
  <w:style w:type="character" w:styleId="a7">
    <w:name w:val="Hyperlink"/>
    <w:qFormat/>
    <w:rsid w:val="00EF5299"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页脚 Char"/>
    <w:link w:val="a3"/>
    <w:qFormat/>
    <w:rsid w:val="00EF52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qFormat/>
    <w:rsid w:val="00EF52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</Words>
  <Characters>759</Characters>
  <Application>Microsoft Office Word</Application>
  <DocSecurity>0</DocSecurity>
  <Lines>6</Lines>
  <Paragraphs>1</Paragraphs>
  <ScaleCrop>false</ScaleCrop>
  <Company>AAA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宜兴市人民政府办公室文件</dc:title>
  <dc:creator>路叶芬</dc:creator>
  <cp:lastModifiedBy>微软用户</cp:lastModifiedBy>
  <cp:revision>3</cp:revision>
  <cp:lastPrinted>2021-08-18T07:10:00Z</cp:lastPrinted>
  <dcterms:created xsi:type="dcterms:W3CDTF">2022-04-11T01:49:00Z</dcterms:created>
  <dcterms:modified xsi:type="dcterms:W3CDTF">2024-09-12T06:16:00Z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FCA44408DD2D49B2A19DE8090E99EAD6_13</vt:lpwstr>
  </property>
</Properties>
</file>