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hAnsi="方正黑体_GBK" w:eastAsia="方正黑体_GBK" w:cs="方正黑体_GBK"/>
          <w:kern w:val="2"/>
          <w:sz w:val="32"/>
          <w:szCs w:val="32"/>
          <w:lang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eastAsia="zh-CN" w:bidi="ar-SA"/>
        </w:rPr>
        <w:t>附表一：砍伐、移植和修剪城市树木花草赔偿标准</w:t>
      </w:r>
    </w:p>
    <w:tbl>
      <w:tblPr>
        <w:tblStyle w:val="2"/>
        <w:tblW w:w="91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856"/>
        <w:gridCol w:w="567"/>
        <w:gridCol w:w="1086"/>
        <w:gridCol w:w="1134"/>
        <w:gridCol w:w="1010"/>
        <w:gridCol w:w="1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种类</w:t>
            </w:r>
          </w:p>
        </w:tc>
        <w:tc>
          <w:tcPr>
            <w:tcW w:w="2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规格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单位</w:t>
            </w: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赔偿费（元）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砍伐或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摧残死亡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移植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损伤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折损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或截干</w:t>
            </w: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乔木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胸径5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及以下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株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110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130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5.1-1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0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690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310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380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10.1-15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500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610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15.1-20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1800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820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1000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20.1-25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2500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1100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1400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25.1-30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3200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1400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1800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30.1-35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3900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1800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2000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35.1-40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4600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2100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2500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40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以上，每增加5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按20%递增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一般灌木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高度50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及以下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株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55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67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51-100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170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210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101-150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700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320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390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151-200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460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560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201-250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1300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600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730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251-300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1700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740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910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300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以上，每增加50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按20%递增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球形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蓬径50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及以下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株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37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45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51-100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140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180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101-150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790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360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440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151-200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470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580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201-250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1400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620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760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250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以上，每增加50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按20%递增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片植灌木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高度50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及以下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58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70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51-100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以上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120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150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100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以上，每增加50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按20%递增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藤本植物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地径3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及以下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株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3.1-5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以上，每增加2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 xml:space="preserve"> cm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按20%递增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绿篱（单排）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m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90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110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双排加倍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垂直绿化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120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150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草坪地被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17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根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  <w:t>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192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  <w:t>1、表内所列乔木均为常绿树，落叶树按标准的1.25倍计算；行道树按标准10倍计算；乔木若为名贵树种按标准10倍计算。名贵树种由市绿化行政主管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  <w:t>部门确定。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192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  <w:t>2、胸径指地面以上130 cm处树干直径；蓬径指植物投影面积中最大距离直径；地径指植物主干基部的直径。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192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  <w:t>3、古树名木赔偿费用由市绿化行政主管部门组织专家核定。</w:t>
      </w:r>
    </w:p>
    <w:p>
      <w:pPr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黑体_GBK" w:hAnsi="方正黑体_GBK" w:eastAsia="方正黑体_GBK" w:cs="方正黑体_GBK"/>
          <w:kern w:val="2"/>
          <w:sz w:val="32"/>
          <w:szCs w:val="32"/>
          <w:lang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eastAsia="zh-CN" w:bidi="ar-SA"/>
        </w:rPr>
        <w:t>附表二：变更绿地补偿费标准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685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类别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补偿费（元/平方米）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一类地区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4800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二类地区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3800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三类地区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2800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192"/>
        <w:jc w:val="both"/>
        <w:textAlignment w:val="auto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192"/>
        <w:jc w:val="center"/>
        <w:textAlignment w:val="auto"/>
        <w:rPr>
          <w:rFonts w:ascii="方正黑体_GBK" w:hAnsi="方正黑体_GBK" w:eastAsia="方正黑体_GBK" w:cs="方正黑体_GBK"/>
          <w:kern w:val="2"/>
          <w:sz w:val="32"/>
          <w:szCs w:val="32"/>
          <w:lang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eastAsia="zh-CN" w:bidi="ar-SA"/>
        </w:rPr>
        <w:t>附表三：临时占用城市绿地补偿费标准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685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类别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补偿费（元/天、平方米）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一类地区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二类地区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三类地区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192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192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  <w:t>说明：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  <w:t>东至范蠡大道、西至G104国道及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S262省道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  <w:t>、北至庆源大道、南至站前大道范围内的各类公园、游园为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eastAsia="zh-CN" w:bidi="ar-SA"/>
        </w:rPr>
        <w:t>一类地区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  <w:t>；范围内除公园、游园外的其他绿地，以及范围外的各镇、园区、街道建成区范围内的绿地为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eastAsia="zh-CN" w:bidi="ar-SA"/>
        </w:rPr>
        <w:t>二类地区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  <w:t>；城镇建成区范围外的各类绿地为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eastAsia="zh-CN" w:bidi="ar-SA"/>
        </w:rPr>
        <w:t>三类地区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ZjRlNjQ4NDJiOGEzOTgyNDYyYWJmNzQ3ZDIwYjMifQ=="/>
  </w:docVars>
  <w:rsids>
    <w:rsidRoot w:val="70A3353A"/>
    <w:rsid w:val="70A3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2024-07-05T07:08:00Z</dcterms:created>
  <dc:creator>WPS_1639228238</dc:creator>
  <cp:lastModifiedBy>WPS_1639228238</cp:lastModifiedBy>
  <dcterms:modified xsi:type="dcterms:W3CDTF">2024-07-05T07:09:58Z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050AD77723964EFE9AB0BB341B7657DA_11</vt:lpwstr>
  </property>
</Properties>
</file>