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inorEastAsia" w:hAnsiTheme="minorEastAsia"/>
          <w:b/>
          <w:color w:val="auto"/>
          <w:sz w:val="32"/>
          <w:szCs w:val="28"/>
          <w:highlight w:val="none"/>
        </w:rPr>
      </w:pPr>
      <w:bookmarkStart w:id="0" w:name="_Toc22828741"/>
      <w:r>
        <w:rPr>
          <w:rFonts w:hint="eastAsia" w:asciiTheme="minorEastAsia" w:hAnsiTheme="minorEastAsia"/>
          <w:b/>
          <w:color w:val="auto"/>
          <w:sz w:val="32"/>
          <w:szCs w:val="28"/>
          <w:highlight w:val="none"/>
          <w:lang w:eastAsia="zh-CN"/>
        </w:rPr>
        <w:t>2024年政府建设项目工程审计协审服务框架协议</w:t>
      </w:r>
      <w:r>
        <w:rPr>
          <w:rFonts w:hint="eastAsia" w:asciiTheme="minorEastAsia" w:hAnsiTheme="minorEastAsia"/>
          <w:b/>
          <w:color w:val="auto"/>
          <w:sz w:val="32"/>
          <w:szCs w:val="28"/>
          <w:highlight w:val="none"/>
        </w:rPr>
        <w:t>采购需求</w:t>
      </w:r>
      <w:bookmarkEnd w:id="0"/>
    </w:p>
    <w:p>
      <w:pPr>
        <w:spacing w:line="360" w:lineRule="auto"/>
        <w:jc w:val="center"/>
        <w:outlineLvl w:val="1"/>
        <w:rPr>
          <w:rFonts w:asciiTheme="minorEastAsia" w:hAnsiTheme="minorEastAsia"/>
          <w:b/>
          <w:color w:val="auto"/>
          <w:sz w:val="28"/>
          <w:szCs w:val="24"/>
          <w:highlight w:val="none"/>
        </w:rPr>
      </w:pPr>
      <w:bookmarkStart w:id="1" w:name="_Toc22828742"/>
      <w:r>
        <w:rPr>
          <w:rFonts w:hint="eastAsia" w:asciiTheme="minorEastAsia" w:hAnsiTheme="minorEastAsia"/>
          <w:b/>
          <w:color w:val="auto"/>
          <w:sz w:val="28"/>
          <w:szCs w:val="24"/>
          <w:highlight w:val="none"/>
        </w:rPr>
        <w:t>第一章：项目概况及资格要求</w:t>
      </w:r>
      <w:bookmarkEnd w:id="1"/>
    </w:p>
    <w:p>
      <w:pPr>
        <w:keepNext w:val="0"/>
        <w:keepLines w:val="0"/>
        <w:pageBreakBefore w:val="0"/>
        <w:widowControl w:val="0"/>
        <w:kinsoku/>
        <w:wordWrap/>
        <w:overflowPunct/>
        <w:topLinePunct w:val="0"/>
        <w:autoSpaceDE/>
        <w:autoSpaceDN/>
        <w:bidi w:val="0"/>
        <w:adjustRightInd/>
        <w:spacing w:line="360" w:lineRule="auto"/>
        <w:jc w:val="left"/>
        <w:textAlignment w:val="auto"/>
        <w:outlineLvl w:val="2"/>
        <w:rPr>
          <w:rFonts w:asciiTheme="minorEastAsia" w:hAnsiTheme="minorEastAsia"/>
          <w:b/>
          <w:color w:val="auto"/>
          <w:sz w:val="24"/>
          <w:szCs w:val="24"/>
          <w:highlight w:val="none"/>
        </w:rPr>
      </w:pPr>
      <w:bookmarkStart w:id="2" w:name="_Toc22828743"/>
      <w:r>
        <w:rPr>
          <w:rFonts w:hint="eastAsia" w:asciiTheme="minorEastAsia" w:hAnsiTheme="minorEastAsia"/>
          <w:b/>
          <w:color w:val="auto"/>
          <w:sz w:val="24"/>
          <w:szCs w:val="24"/>
          <w:highlight w:val="none"/>
        </w:rPr>
        <w:t>一、项目概况</w:t>
      </w:r>
      <w:bookmarkEnd w:id="2"/>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1、采购人：</w:t>
      </w:r>
      <w:r>
        <w:rPr>
          <w:rFonts w:hint="eastAsia" w:asciiTheme="minorEastAsia" w:hAnsiTheme="minorEastAsia"/>
          <w:color w:val="auto"/>
          <w:sz w:val="24"/>
          <w:szCs w:val="24"/>
          <w:highlight w:val="none"/>
          <w:lang w:eastAsia="zh-CN"/>
        </w:rPr>
        <w:t>宜兴市审计局</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w:t>
      </w:r>
      <w:r>
        <w:rPr>
          <w:rFonts w:hint="eastAsia" w:ascii="宋体"/>
          <w:bCs/>
          <w:color w:val="auto"/>
          <w:sz w:val="24"/>
          <w:szCs w:val="24"/>
          <w:highlight w:val="none"/>
          <w:lang w:val="en-US" w:eastAsia="zh-CN"/>
        </w:rPr>
        <w:t>谈先生</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联系方式：</w:t>
      </w:r>
      <w:r>
        <w:rPr>
          <w:rFonts w:ascii="宋体" w:hAnsi="宋体" w:cs="宋体"/>
          <w:color w:val="auto"/>
          <w:sz w:val="24"/>
          <w:szCs w:val="24"/>
          <w:highlight w:val="none"/>
        </w:rPr>
        <w:t>0510-</w:t>
      </w:r>
      <w:r>
        <w:rPr>
          <w:rFonts w:hint="eastAsia" w:ascii="宋体" w:hAnsi="宋体" w:cs="宋体"/>
          <w:color w:val="auto"/>
          <w:sz w:val="24"/>
          <w:szCs w:val="24"/>
          <w:highlight w:val="none"/>
        </w:rPr>
        <w:t>87900130</w:t>
      </w:r>
      <w:r>
        <w:rPr>
          <w:rStyle w:val="44"/>
          <w:rFonts w:ascii="宋体" w:hAnsi="宋体" w:eastAsia="宋体"/>
          <w:bCs/>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联系地址：</w:t>
      </w:r>
      <w:r>
        <w:rPr>
          <w:rFonts w:hint="eastAsia" w:ascii="宋体" w:hAnsi="宋体"/>
          <w:bCs/>
          <w:color w:val="auto"/>
          <w:sz w:val="24"/>
          <w:szCs w:val="24"/>
          <w:highlight w:val="none"/>
        </w:rPr>
        <w:t>宜兴市荆溪中路35号五局大院内</w:t>
      </w:r>
      <w:r>
        <w:rPr>
          <w:rFonts w:hint="eastAsia" w:asciiTheme="minorEastAsia" w:hAnsi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rPr>
        <w:t>2、采购项目名称</w:t>
      </w:r>
      <w:r>
        <w:rPr>
          <w:rFonts w:hint="eastAsia" w:asciiTheme="minorEastAsia" w:hAnsiTheme="minorEastAsia"/>
          <w:color w:val="auto"/>
          <w:sz w:val="24"/>
          <w:szCs w:val="24"/>
          <w:highlight w:val="none"/>
          <w:lang w:eastAsia="zh-CN"/>
        </w:rPr>
        <w:t>：2024年政府建设项目工程审计协审服务框架协议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拟采用采购方式：</w:t>
      </w:r>
      <w:r>
        <w:rPr>
          <w:rFonts w:hint="eastAsia" w:ascii="宋体" w:hAnsi="宋体"/>
          <w:bCs/>
          <w:color w:val="auto"/>
          <w:sz w:val="24"/>
          <w:szCs w:val="24"/>
          <w:highlight w:val="none"/>
          <w:lang w:val="en-US" w:eastAsia="zh-CN"/>
        </w:rPr>
        <w:t>封闭式框架协议采购</w:t>
      </w:r>
      <w:r>
        <w:rPr>
          <w:rFonts w:hint="eastAsia" w:ascii="宋体" w:hAnsi="宋体"/>
          <w:bCs/>
          <w:color w:val="auto"/>
          <w:sz w:val="24"/>
          <w:szCs w:val="24"/>
          <w:highlight w:val="non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拟</w:t>
      </w:r>
      <w:r>
        <w:rPr>
          <w:rFonts w:hint="eastAsia" w:asciiTheme="minorEastAsia" w:hAnsiTheme="minorEastAsia"/>
          <w:color w:val="auto"/>
          <w:sz w:val="24"/>
          <w:szCs w:val="24"/>
          <w:highlight w:val="none"/>
          <w:lang w:val="en-US" w:eastAsia="zh-CN"/>
        </w:rPr>
        <w:t>采用评标方法：</w:t>
      </w:r>
      <w:r>
        <w:rPr>
          <w:rFonts w:hint="eastAsia" w:ascii="宋体" w:hAnsi="宋体"/>
          <w:bCs/>
          <w:color w:val="auto"/>
          <w:sz w:val="24"/>
          <w:szCs w:val="24"/>
          <w:highlight w:val="none"/>
          <w:lang w:val="en-US" w:eastAsia="zh-CN"/>
        </w:rPr>
        <w:t>质量优先法</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5</w:t>
      </w:r>
      <w:r>
        <w:rPr>
          <w:rFonts w:hint="eastAsia" w:asciiTheme="minorEastAsia" w:hAnsiTheme="minorEastAsia"/>
          <w:color w:val="auto"/>
          <w:sz w:val="24"/>
          <w:szCs w:val="24"/>
          <w:highlight w:val="none"/>
        </w:rPr>
        <w:t>、拟采用的组织形式：分散采购</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6</w:t>
      </w:r>
      <w:r>
        <w:rPr>
          <w:rFonts w:hint="eastAsia" w:asciiTheme="minorEastAsia" w:hAnsiTheme="minorEastAsia"/>
          <w:color w:val="auto"/>
          <w:sz w:val="24"/>
          <w:szCs w:val="24"/>
          <w:highlight w:val="none"/>
        </w:rPr>
        <w:t>、项目名称及数量：</w:t>
      </w:r>
      <w:r>
        <w:rPr>
          <w:rFonts w:hint="eastAsia" w:asciiTheme="minorEastAsia" w:hAnsiTheme="minorEastAsia"/>
          <w:color w:val="auto"/>
          <w:sz w:val="24"/>
          <w:szCs w:val="24"/>
          <w:highlight w:val="none"/>
          <w:lang w:eastAsia="zh-CN"/>
        </w:rPr>
        <w:t>2024年政府建设项目工程审计协审服务框架协议</w:t>
      </w:r>
      <w:r>
        <w:rPr>
          <w:rFonts w:hint="eastAsia" w:asciiTheme="minorEastAsia" w:hAnsiTheme="minorEastAsia"/>
          <w:color w:val="auto"/>
          <w:sz w:val="24"/>
          <w:szCs w:val="24"/>
          <w:highlight w:val="none"/>
        </w:rPr>
        <w:t>，数量：1</w:t>
      </w:r>
      <w:r>
        <w:rPr>
          <w:rFonts w:hint="eastAsia" w:asciiTheme="minorEastAsia" w:hAnsiTheme="minorEastAsia"/>
          <w:color w:val="auto"/>
          <w:sz w:val="24"/>
          <w:szCs w:val="24"/>
          <w:highlight w:val="none"/>
          <w:lang w:val="en-US" w:eastAsia="zh-CN"/>
        </w:rPr>
        <w:t>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7</w:t>
      </w:r>
      <w:r>
        <w:rPr>
          <w:rFonts w:hint="eastAsia" w:asciiTheme="minorEastAsia" w:hAnsiTheme="minorEastAsia"/>
          <w:color w:val="auto"/>
          <w:sz w:val="24"/>
          <w:szCs w:val="24"/>
          <w:highlight w:val="none"/>
        </w:rPr>
        <w:t>、采购预算：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跟踪、结算项目协审费用原则上按照《关于市政府建设项目委托中介机构参审审计费用结算问题的协调会议纪要》（详见宜纪〔2009〕23号文件）的70%计取。接受宜兴市审计局考核，最终结算费用与考核结果挂钩。</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（2）复核项目协审费用原则上按照《关于市政府建设项目委托中介机构参审审计费用结算问题的协调会议纪要》（详见宜纪〔2009〕23号文件）的90%计取。接受宜兴市审计局考核，最终结算费用与考核结果挂钩。</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（3）复审项目协审费用按照市政府投资建设项目抽复审工作相关规定计取。接受宜兴市审计局考核，最终结算费用与考核结果挂钩。</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cs="宋体" w:eastAsiaTheme="minorEastAsia"/>
          <w:bCs/>
          <w:color w:val="auto"/>
          <w:sz w:val="24"/>
          <w:szCs w:val="24"/>
          <w:highlight w:val="none"/>
          <w:lang w:eastAsia="zh-CN"/>
        </w:rPr>
      </w:pPr>
      <w:r>
        <w:rPr>
          <w:rFonts w:hint="eastAsia" w:asciiTheme="minorEastAsia" w:hAnsiTheme="minorEastAsia"/>
          <w:color w:val="auto"/>
          <w:sz w:val="24"/>
          <w:szCs w:val="24"/>
          <w:highlight w:val="none"/>
        </w:rPr>
        <w:t>（4）以工作日为单位计算报酬的计日工，按照以下标准计算聘请费用：注册造价工程师1800元/人·天（含税）；一般工程协审人员900元/人·天（含税）。接受宜兴市审计局考核，最终结算费用与考核结果挂钩。</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val="zh-CN"/>
        </w:rPr>
        <w:t>框架协议期限：</w:t>
      </w:r>
      <w:r>
        <w:rPr>
          <w:rFonts w:hint="eastAsia" w:asciiTheme="minorEastAsia" w:hAnsiTheme="minorEastAsia"/>
          <w:b w:val="0"/>
          <w:bCs w:val="0"/>
          <w:color w:val="auto"/>
          <w:sz w:val="24"/>
          <w:szCs w:val="24"/>
          <w:highlight w:val="none"/>
          <w:lang w:val="zh-CN"/>
        </w:rPr>
        <w:t>自入围之日起至2025年6月30日</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验收方式</w:t>
      </w:r>
      <w:r>
        <w:rPr>
          <w:rFonts w:hint="eastAsia" w:asciiTheme="minorEastAsia" w:hAnsiTheme="minorEastAsia"/>
          <w:b/>
          <w:bCs/>
          <w:color w:val="auto"/>
          <w:sz w:val="24"/>
          <w:szCs w:val="24"/>
          <w:highlight w:val="none"/>
          <w:lang w:eastAsia="zh-CN"/>
        </w:rPr>
        <w:t>：</w:t>
      </w:r>
      <w:r>
        <w:rPr>
          <w:rFonts w:hint="eastAsia" w:asciiTheme="minorEastAsia" w:hAnsiTheme="minorEastAsia"/>
          <w:b w:val="0"/>
          <w:bCs w:val="0"/>
          <w:color w:val="auto"/>
          <w:sz w:val="24"/>
          <w:szCs w:val="24"/>
          <w:highlight w:val="none"/>
        </w:rPr>
        <w:t>采购人根据国家有关规定、招投标文件以及合同约定的内容组织验收，具体验收办法详见《宜兴市政府采购项目履约验收管理办法》（宜财采〔2023〕3号）</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服务地点：</w:t>
      </w:r>
      <w:r>
        <w:rPr>
          <w:rFonts w:hint="eastAsia" w:asciiTheme="minorEastAsia" w:hAnsiTheme="minorEastAsia"/>
          <w:b w:val="0"/>
          <w:bCs w:val="0"/>
          <w:color w:val="auto"/>
          <w:sz w:val="24"/>
          <w:szCs w:val="24"/>
          <w:highlight w:val="none"/>
          <w:lang w:val="en-US" w:eastAsia="zh-CN"/>
        </w:rPr>
        <w:t>采购人</w:t>
      </w:r>
      <w:r>
        <w:rPr>
          <w:rFonts w:hint="eastAsia" w:asciiTheme="minorEastAsia" w:hAnsiTheme="minorEastAsia"/>
          <w:b w:val="0"/>
          <w:bCs w:val="0"/>
          <w:color w:val="auto"/>
          <w:sz w:val="24"/>
          <w:szCs w:val="24"/>
          <w:highlight w:val="none"/>
        </w:rPr>
        <w:t>指定地点</w:t>
      </w:r>
      <w:r>
        <w:rPr>
          <w:rFonts w:hint="eastAsia" w:asciiTheme="minorEastAsia" w:hAnsiTheme="minorEastAsia"/>
          <w:b w:val="0"/>
          <w:bCs w:val="0"/>
          <w:color w:val="auto"/>
          <w:sz w:val="24"/>
          <w:szCs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b/>
          <w:bCs/>
          <w:color w:val="auto"/>
          <w:sz w:val="24"/>
          <w:szCs w:val="24"/>
          <w:highlight w:val="none"/>
        </w:rPr>
      </w:pPr>
      <w:r>
        <w:rPr>
          <w:rFonts w:hint="eastAsia" w:ascii="宋体" w:hAnsi="宋体" w:eastAsia="宋体" w:cs="Times New Roman"/>
          <w:b/>
          <w:bCs w:val="0"/>
          <w:color w:val="auto"/>
          <w:sz w:val="24"/>
          <w:szCs w:val="24"/>
          <w:highlight w:val="none"/>
        </w:rPr>
        <w:t>适用框架协议的</w:t>
      </w:r>
      <w:r>
        <w:rPr>
          <w:rFonts w:hint="eastAsia" w:ascii="宋体" w:hAnsi="宋体" w:eastAsia="宋体" w:cs="Times New Roman"/>
          <w:b/>
          <w:bCs w:val="0"/>
          <w:color w:val="auto"/>
          <w:sz w:val="24"/>
          <w:szCs w:val="24"/>
          <w:highlight w:val="none"/>
          <w:lang w:eastAsia="zh-CN"/>
        </w:rPr>
        <w:t>征集人</w:t>
      </w:r>
      <w:r>
        <w:rPr>
          <w:rFonts w:hint="eastAsia" w:ascii="宋体" w:hAnsi="宋体" w:eastAsia="宋体" w:cs="Times New Roman"/>
          <w:b/>
          <w:bCs w:val="0"/>
          <w:color w:val="auto"/>
          <w:sz w:val="24"/>
          <w:szCs w:val="24"/>
          <w:highlight w:val="none"/>
        </w:rPr>
        <w:t>或者服务对象范围：</w:t>
      </w:r>
      <w:r>
        <w:rPr>
          <w:rFonts w:hint="eastAsia" w:ascii="宋体" w:hAnsi="宋体" w:eastAsia="宋体" w:cs="Times New Roman"/>
          <w:bCs/>
          <w:color w:val="auto"/>
          <w:sz w:val="24"/>
          <w:szCs w:val="24"/>
          <w:highlight w:val="none"/>
          <w:lang w:val="en-US" w:eastAsia="zh-CN"/>
        </w:rPr>
        <w:t>宜兴市审计局</w:t>
      </w:r>
      <w:r>
        <w:rPr>
          <w:rFonts w:hint="eastAsia" w:asciiTheme="minorEastAsia" w:hAnsiTheme="minorEastAsia"/>
          <w:b/>
          <w:bCs/>
          <w:color w:val="auto"/>
          <w:sz w:val="24"/>
          <w:szCs w:val="24"/>
          <w:highlight w:val="none"/>
        </w:rPr>
        <w:t>。</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82" w:firstLineChars="200"/>
        <w:textAlignment w:val="auto"/>
        <w:rPr>
          <w:rFonts w:hint="default" w:asciiTheme="minorEastAsia" w:hAnsiTheme="minorEastAsia"/>
          <w:b/>
          <w:bCs/>
          <w:color w:val="auto"/>
          <w:sz w:val="24"/>
          <w:szCs w:val="24"/>
          <w:highlight w:val="none"/>
          <w:lang w:val="en-US" w:eastAsia="zh-CN"/>
        </w:rPr>
      </w:pPr>
      <w:r>
        <w:rPr>
          <w:rFonts w:hint="eastAsia" w:asciiTheme="minorEastAsia" w:hAnsiTheme="minorEastAsia"/>
          <w:b/>
          <w:bCs/>
          <w:color w:val="auto"/>
          <w:sz w:val="24"/>
          <w:szCs w:val="24"/>
          <w:highlight w:val="none"/>
          <w:lang w:val="en-US" w:eastAsia="zh-CN"/>
        </w:rPr>
        <w:t>费用计取标准</w:t>
      </w:r>
      <w:r>
        <w:rPr>
          <w:rFonts w:hint="eastAsia" w:asciiTheme="minorEastAsia" w:hAnsiTheme="minorEastAsia"/>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bookmarkStart w:id="3" w:name="_Toc22828744"/>
      <w:r>
        <w:rPr>
          <w:rFonts w:hint="default" w:ascii="宋体" w:hAnsi="宋体" w:eastAsia="宋体" w:cs="Times New Roman"/>
          <w:color w:val="auto"/>
          <w:sz w:val="24"/>
          <w:szCs w:val="24"/>
          <w:highlight w:val="none"/>
          <w:lang w:val="en-US" w:eastAsia="zh-CN"/>
        </w:rPr>
        <w:t>（1）跟踪、结算项目协审费用原则上按照《关于市政府建设项目委托中介机构参审审计费用结算问题的协调会议纪要》（详见宜纪〔2009〕23号文件）的70%计取。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（2）复核项目协审费用原则上按照《关于市政府建设项目委托中介机构参审审计费用结算问题的协调会议纪要》（详见宜纪〔2009〕23号文件）的90%计取。接受宜兴市审计局考核，最终结算费用与考核结果挂钩。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（3）复审项目协审费用按照市政府投资建设项目抽复审工作相关规定计取。接受宜兴市审计局考核，最终结算费用与考核结果挂钩。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eastAsia="zh-CN"/>
        </w:rPr>
      </w:pPr>
      <w:r>
        <w:rPr>
          <w:rFonts w:hint="default" w:ascii="宋体" w:hAnsi="宋体" w:eastAsia="宋体" w:cs="Times New Roman"/>
          <w:color w:val="auto"/>
          <w:sz w:val="24"/>
          <w:szCs w:val="24"/>
          <w:highlight w:val="none"/>
          <w:lang w:val="en-US" w:eastAsia="zh-CN"/>
        </w:rPr>
        <w:t>（4）以工作日为单位计算报酬的计日工，按照以下标准计算聘请费用：注册造价工程师1800元/人·天（含税）；一般工程协审人员900元/人·天（含税）。接受宜兴市审计局考核，最终结算费用与考核结果挂钩。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w:t>
      </w:r>
      <w:bookmarkEnd w:id="3"/>
      <w:r>
        <w:rPr>
          <w:rFonts w:hint="eastAsia" w:asciiTheme="minorEastAsia" w:hAnsiTheme="minorEastAsia"/>
          <w:b/>
          <w:color w:val="auto"/>
          <w:sz w:val="24"/>
          <w:szCs w:val="24"/>
          <w:highlight w:val="none"/>
        </w:rPr>
        <w:t>投标人</w:t>
      </w:r>
      <w:r>
        <w:rPr>
          <w:rFonts w:hint="eastAsia" w:asciiTheme="minorEastAsia" w:hAnsiTheme="minorEastAsia"/>
          <w:b/>
          <w:color w:val="auto"/>
          <w:sz w:val="24"/>
          <w:szCs w:val="24"/>
          <w:highlight w:val="none"/>
          <w:lang w:val="zh-CN"/>
        </w:rPr>
        <w:t>应具备</w:t>
      </w:r>
      <w:r>
        <w:rPr>
          <w:rFonts w:hint="eastAsia" w:asciiTheme="minorEastAsia" w:hAnsiTheme="minorEastAsia"/>
          <w:b/>
          <w:color w:val="auto"/>
          <w:sz w:val="24"/>
          <w:szCs w:val="24"/>
          <w:highlight w:val="none"/>
          <w:lang w:val="en-US" w:eastAsia="zh-CN"/>
        </w:rPr>
        <w:t>的</w:t>
      </w:r>
      <w:r>
        <w:rPr>
          <w:rFonts w:hint="eastAsia" w:asciiTheme="minorEastAsia" w:hAnsiTheme="minorEastAsia"/>
          <w:b/>
          <w:color w:val="auto"/>
          <w:sz w:val="24"/>
          <w:szCs w:val="24"/>
          <w:highlight w:val="none"/>
          <w:lang w:val="zh-CN"/>
        </w:rPr>
        <w:t>资格条件</w:t>
      </w:r>
      <w:r>
        <w:rPr>
          <w:rFonts w:hint="eastAsia" w:asciiTheme="minorEastAsia" w:hAnsiTheme="minorEastAsia"/>
          <w:b/>
          <w:color w:val="auto"/>
          <w:sz w:val="24"/>
          <w:szCs w:val="24"/>
          <w:highlight w:val="none"/>
        </w:rPr>
        <w:t>：</w:t>
      </w:r>
    </w:p>
    <w:p>
      <w:pPr>
        <w:keepNext w:val="0"/>
        <w:keepLines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bCs/>
          <w:color w:val="auto"/>
          <w:sz w:val="24"/>
          <w:szCs w:val="21"/>
          <w:highlight w:val="none"/>
          <w:lang w:val="zh-CN"/>
        </w:rPr>
      </w:pPr>
      <w:bookmarkStart w:id="4" w:name="_Toc22828745"/>
      <w:r>
        <w:rPr>
          <w:rFonts w:hint="eastAsia" w:ascii="宋体" w:hAnsi="宋体"/>
          <w:bCs/>
          <w:color w:val="auto"/>
          <w:sz w:val="24"/>
          <w:szCs w:val="21"/>
          <w:highlight w:val="none"/>
          <w:lang w:val="zh-CN"/>
        </w:rPr>
        <w:t>①</w:t>
      </w:r>
      <w:r>
        <w:rPr>
          <w:rFonts w:hint="eastAsia" w:ascii="宋体" w:hAnsi="宋体"/>
          <w:bCs/>
          <w:color w:val="auto"/>
          <w:sz w:val="24"/>
          <w:szCs w:val="21"/>
          <w:highlight w:val="none"/>
        </w:rPr>
        <w:t>满足《中华人民共和国政府采购法》第二十二条规定</w:t>
      </w:r>
      <w:r>
        <w:rPr>
          <w:rFonts w:hint="eastAsia" w:ascii="宋体" w:hAnsi="宋体"/>
          <w:bCs/>
          <w:color w:val="auto"/>
          <w:sz w:val="24"/>
          <w:szCs w:val="21"/>
          <w:highlight w:val="none"/>
          <w:lang w:val="zh-CN"/>
        </w:rPr>
        <w:t>；</w:t>
      </w:r>
    </w:p>
    <w:p>
      <w:pPr>
        <w:keepNext w:val="0"/>
        <w:keepLines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Theme="minorEastAsia"/>
          <w:bCs/>
          <w:color w:val="auto"/>
          <w:sz w:val="24"/>
          <w:szCs w:val="21"/>
          <w:highlight w:val="none"/>
          <w:lang w:val="en-US" w:eastAsia="zh-CN"/>
        </w:rPr>
      </w:pPr>
      <w:r>
        <w:rPr>
          <w:rFonts w:hint="eastAsia" w:ascii="宋体" w:hAnsi="宋体"/>
          <w:bCs/>
          <w:color w:val="auto"/>
          <w:sz w:val="24"/>
          <w:szCs w:val="21"/>
          <w:highlight w:val="none"/>
          <w:lang w:val="zh-CN"/>
        </w:rPr>
        <w:t>②</w:t>
      </w:r>
      <w:r>
        <w:rPr>
          <w:rFonts w:hint="eastAsia" w:ascii="宋体" w:hAnsi="宋体"/>
          <w:bCs/>
          <w:color w:val="auto"/>
          <w:sz w:val="24"/>
          <w:szCs w:val="21"/>
          <w:highlight w:val="none"/>
        </w:rPr>
        <w:t>落实政府采购政策需满足的资格要求：</w:t>
      </w:r>
      <w:r>
        <w:rPr>
          <w:rFonts w:hint="eastAsia" w:ascii="宋体" w:hAnsi="宋体"/>
          <w:bCs/>
          <w:color w:val="auto"/>
          <w:sz w:val="24"/>
          <w:szCs w:val="21"/>
          <w:highlight w:val="none"/>
          <w:lang w:val="en-US" w:eastAsia="zh-CN"/>
        </w:rPr>
        <w:t>无</w:t>
      </w:r>
    </w:p>
    <w:p>
      <w:pPr>
        <w:keepNext w:val="0"/>
        <w:keepLines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bCs/>
          <w:color w:val="auto"/>
          <w:sz w:val="24"/>
          <w:szCs w:val="21"/>
          <w:highlight w:val="none"/>
          <w:lang w:val="zh-CN"/>
        </w:rPr>
      </w:pPr>
      <w:r>
        <w:rPr>
          <w:rFonts w:hint="eastAsia" w:ascii="宋体" w:hAnsi="宋体"/>
          <w:bCs/>
          <w:color w:val="auto"/>
          <w:sz w:val="24"/>
          <w:szCs w:val="21"/>
          <w:highlight w:val="none"/>
        </w:rPr>
        <w:t>③其他要求：</w:t>
      </w:r>
    </w:p>
    <w:p>
      <w:pPr>
        <w:keepNext w:val="0"/>
        <w:keepLines w:val="0"/>
        <w:widowControl w:val="0"/>
        <w:numPr>
          <w:ilvl w:val="0"/>
          <w:numId w:val="3"/>
        </w:numPr>
        <w:kinsoku/>
        <w:wordWrap/>
        <w:overflowPunct/>
        <w:topLinePunct w:val="0"/>
        <w:autoSpaceDE w:val="0"/>
        <w:autoSpaceDN w:val="0"/>
        <w:bidi w:val="0"/>
        <w:adjustRightInd w:val="0"/>
        <w:snapToGrid/>
        <w:spacing w:line="360" w:lineRule="auto"/>
        <w:ind w:firstLine="480" w:firstLineChars="200"/>
        <w:textAlignment w:val="auto"/>
        <w:rPr>
          <w:rFonts w:ascii="宋体" w:hAnsi="宋体"/>
          <w:bCs/>
          <w:color w:val="auto"/>
          <w:sz w:val="24"/>
          <w:szCs w:val="21"/>
          <w:highlight w:val="none"/>
        </w:rPr>
      </w:pPr>
      <w:r>
        <w:rPr>
          <w:rFonts w:hint="eastAsia" w:ascii="宋体" w:hAnsi="宋体"/>
          <w:bCs/>
          <w:color w:val="auto"/>
          <w:sz w:val="24"/>
          <w:szCs w:val="21"/>
          <w:highlight w:val="none"/>
        </w:rPr>
        <w:t>无不良</w:t>
      </w:r>
      <w:r>
        <w:rPr>
          <w:rFonts w:hint="eastAsia" w:ascii="宋体" w:hAnsi="宋体"/>
          <w:bCs/>
          <w:color w:val="auto"/>
          <w:sz w:val="24"/>
          <w:szCs w:val="21"/>
          <w:highlight w:val="none"/>
          <w:lang w:val="zh-CN"/>
        </w:rPr>
        <w:t>信用记录；</w:t>
      </w:r>
    </w:p>
    <w:p>
      <w:pPr>
        <w:keepNext w:val="0"/>
        <w:keepLines w:val="0"/>
        <w:widowControl w:val="0"/>
        <w:numPr>
          <w:ilvl w:val="0"/>
          <w:numId w:val="3"/>
        </w:numPr>
        <w:kinsoku/>
        <w:wordWrap/>
        <w:overflowPunct/>
        <w:topLinePunct w:val="0"/>
        <w:autoSpaceDE w:val="0"/>
        <w:autoSpaceDN w:val="0"/>
        <w:bidi w:val="0"/>
        <w:adjustRightInd w:val="0"/>
        <w:snapToGrid/>
        <w:spacing w:line="360" w:lineRule="auto"/>
        <w:ind w:firstLine="480" w:firstLineChars="200"/>
        <w:textAlignment w:val="auto"/>
        <w:rPr>
          <w:rFonts w:hAnsi="宋体" w:cs="宋体"/>
          <w:color w:val="auto"/>
          <w:szCs w:val="24"/>
          <w:highlight w:val="none"/>
        </w:rPr>
      </w:pPr>
      <w:r>
        <w:rPr>
          <w:rFonts w:hint="eastAsia" w:ascii="宋体" w:hAnsi="宋体"/>
          <w:bCs/>
          <w:color w:val="auto"/>
          <w:sz w:val="24"/>
          <w:szCs w:val="21"/>
          <w:highlight w:val="none"/>
          <w:lang w:val="zh-CN"/>
        </w:rPr>
        <w:t>不接受联合体，不接受中标后分包；</w:t>
      </w:r>
    </w:p>
    <w:p>
      <w:pPr>
        <w:keepNext w:val="0"/>
        <w:keepLines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采购人特殊要求：无</w:t>
      </w:r>
    </w:p>
    <w:bookmarkEnd w:id="4"/>
    <w:p>
      <w:pPr>
        <w:keepNext w:val="0"/>
        <w:keepLines w:val="0"/>
        <w:pageBreakBefore/>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ascii="黑体" w:hAnsi="黑体" w:eastAsia="黑体"/>
          <w:color w:val="auto"/>
          <w:sz w:val="28"/>
          <w:highlight w:val="none"/>
        </w:rPr>
        <w:sectPr>
          <w:pgSz w:w="11906" w:h="16838"/>
          <w:pgMar w:top="1134" w:right="426" w:bottom="1134" w:left="709" w:header="851" w:footer="992" w:gutter="0"/>
          <w:pgNumType w:fmt="numberInDash"/>
          <w:cols w:space="0" w:num="1"/>
          <w:rtlGutter w:val="0"/>
          <w:docGrid w:type="lines" w:linePitch="312" w:charSpace="0"/>
        </w:sectPr>
      </w:pPr>
      <w:bookmarkStart w:id="5" w:name="_Toc26983"/>
      <w:bookmarkStart w:id="6" w:name="_Toc27472"/>
    </w:p>
    <w:p>
      <w:pPr>
        <w:keepNext w:val="0"/>
        <w:keepLines w:val="0"/>
        <w:pageBreakBefore/>
        <w:widowControl w:val="0"/>
        <w:kinsoku/>
        <w:wordWrap/>
        <w:overflowPunct/>
        <w:topLinePunct w:val="0"/>
        <w:autoSpaceDE/>
        <w:autoSpaceDN/>
        <w:bidi w:val="0"/>
        <w:adjustRightInd/>
        <w:snapToGrid/>
        <w:jc w:val="center"/>
        <w:textAlignment w:val="auto"/>
        <w:outlineLvl w:val="0"/>
        <w:rPr>
          <w:rFonts w:ascii="黑体" w:hAnsi="黑体" w:eastAsia="黑体"/>
          <w:color w:val="auto"/>
          <w:sz w:val="28"/>
          <w:highlight w:val="none"/>
        </w:rPr>
      </w:pPr>
      <w:r>
        <w:rPr>
          <w:rFonts w:hint="eastAsia" w:ascii="黑体" w:hAnsi="黑体" w:eastAsia="黑体"/>
          <w:color w:val="auto"/>
          <w:sz w:val="28"/>
          <w:highlight w:val="none"/>
        </w:rPr>
        <w:t>第</w:t>
      </w:r>
      <w:r>
        <w:rPr>
          <w:rFonts w:hint="eastAsia" w:ascii="黑体" w:hAnsi="黑体" w:eastAsia="黑体"/>
          <w:color w:val="auto"/>
          <w:sz w:val="28"/>
          <w:highlight w:val="none"/>
          <w:lang w:val="en-US" w:eastAsia="zh-CN"/>
        </w:rPr>
        <w:t>二</w:t>
      </w:r>
      <w:r>
        <w:rPr>
          <w:rFonts w:hint="eastAsia" w:ascii="黑体" w:hAnsi="黑体" w:eastAsia="黑体"/>
          <w:color w:val="auto"/>
          <w:sz w:val="28"/>
          <w:highlight w:val="none"/>
        </w:rPr>
        <w:t>章 项目技术要求和有关说明</w:t>
      </w:r>
      <w:bookmarkEnd w:id="5"/>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本次入围为宜兴市审计局</w:t>
      </w:r>
      <w:r>
        <w:rPr>
          <w:rFonts w:hint="eastAsia" w:ascii="宋体" w:hAnsi="宋体"/>
          <w:color w:val="auto"/>
          <w:sz w:val="24"/>
          <w:szCs w:val="24"/>
          <w:highlight w:val="none"/>
          <w:lang w:eastAsia="zh-CN"/>
        </w:rPr>
        <w:t>2024年政府建设项目工程审计协审服务框架协议</w:t>
      </w:r>
      <w:r>
        <w:rPr>
          <w:rFonts w:hint="eastAsia" w:ascii="宋体" w:hAnsi="宋体"/>
          <w:color w:val="auto"/>
          <w:sz w:val="24"/>
          <w:szCs w:val="24"/>
          <w:highlight w:val="none"/>
        </w:rPr>
        <w:t>，具体要求如下，投标人须提供满足以下要求的服务和设备，不得有负偏离。</w:t>
      </w:r>
    </w:p>
    <w:p>
      <w:pPr>
        <w:spacing w:before="156" w:beforeLines="50" w:after="156" w:afterLines="50" w:line="360" w:lineRule="auto"/>
        <w:ind w:left="420" w:leftChars="200"/>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一、</w:t>
      </w:r>
      <w:r>
        <w:rPr>
          <w:rFonts w:hint="eastAsia" w:ascii="宋体" w:hAnsi="宋体"/>
          <w:b/>
          <w:bCs/>
          <w:color w:val="auto"/>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1.项目名称：2024年政府建设项目工程审计协审服务框架协议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2.品    目：服务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3.征 集 人：宜兴市审计局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4.采购代理机构：无锡君瑞祥泰招标有限公司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5.本项目是否专门面向中小企业：否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6.采购方式：封闭式框架协议采购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7.评标方法：质量优先法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8.预算金额：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bookmarkStart w:id="192" w:name="_GoBack"/>
      <w:bookmarkEnd w:id="192"/>
      <w:r>
        <w:rPr>
          <w:rFonts w:hint="default" w:ascii="宋体" w:hAnsi="宋体" w:eastAsia="宋体" w:cs="Times New Roman"/>
          <w:color w:val="auto"/>
          <w:sz w:val="24"/>
          <w:szCs w:val="24"/>
          <w:highlight w:val="none"/>
          <w:lang w:val="en-US" w:eastAsia="zh-CN"/>
        </w:rPr>
        <w:t>（1）跟踪、结算项目协审费用原则上按照《关于市政府建设项目委托中介机构参审审计费用结算问题的协调会议纪要》（详见宜纪〔2009〕23号文件）的70%计取。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（2）复核项目协审费用原则上按照《关于市政府建设项目委托中介机构参审审计费用结算问题的协调会议纪要》（详见宜纪〔2009〕23号文件）的90%计取。接受宜兴市审计局考核，最终结算费用与考核结果挂钩。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（3）复审项目协审费用按照市政府投资建设项目抽复审工作相关规定计取。接受宜兴市审计局考核，最终结算费用与考核结果挂钩。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（4）以工作日为单位计算报酬的计日工，按照以下标准计算聘请费用：注册造价工程师1800元/人·天（含税）；一般工程协审人员900元/人·天（含税）。接受宜兴市审计局考核，最终结算费用与考核结果挂钩。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9.最高限价：同预算金额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10.框架协议期限：使用期限自中标之日起至</w:t>
      </w:r>
      <w:r>
        <w:rPr>
          <w:rFonts w:hint="eastAsia" w:ascii="宋体" w:hAnsi="宋体" w:eastAsia="宋体" w:cs="Times New Roman"/>
          <w:bCs/>
          <w:color w:val="auto"/>
          <w:sz w:val="24"/>
          <w:szCs w:val="24"/>
          <w:highlight w:val="none"/>
          <w:lang w:val="en-US" w:eastAsia="zh-CN"/>
        </w:rPr>
        <w:t>2025年6月30日</w:t>
      </w:r>
      <w:r>
        <w:rPr>
          <w:rFonts w:hint="eastAsia" w:ascii="宋体" w:hAnsi="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11.适用框架协议的征集人或者服务对象范围：主要用于宜兴市审计局开展的政府建设项目跟踪审计、结算审计、复审、复核、计日工等。</w:t>
      </w:r>
    </w:p>
    <w:p>
      <w:pPr>
        <w:spacing w:before="156" w:beforeLines="50" w:after="156" w:afterLines="50" w:line="360" w:lineRule="auto"/>
        <w:ind w:left="420" w:leftChars="200"/>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rPr>
        <w:t>二、</w:t>
      </w:r>
      <w:r>
        <w:rPr>
          <w:rFonts w:hint="eastAsia" w:ascii="宋体" w:hAnsi="宋体"/>
          <w:b/>
          <w:bCs/>
          <w:color w:val="auto"/>
          <w:sz w:val="24"/>
          <w:szCs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 需求标准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征集人根据工作需要聘请第三方专业机构协助开展</w:t>
      </w:r>
      <w:r>
        <w:rPr>
          <w:rFonts w:hint="eastAsia" w:ascii="宋体" w:hAnsi="宋体"/>
          <w:color w:val="auto"/>
          <w:sz w:val="24"/>
          <w:szCs w:val="24"/>
          <w:highlight w:val="none"/>
        </w:rPr>
        <w:t>2024年度宜兴市政府投资项目咨询服务</w:t>
      </w:r>
      <w:r>
        <w:rPr>
          <w:rFonts w:hint="eastAsia" w:ascii="宋体" w:hAnsi="宋体" w:eastAsia="宋体" w:cs="Times New Roman"/>
          <w:color w:val="auto"/>
          <w:sz w:val="24"/>
          <w:szCs w:val="24"/>
          <w:highlight w:val="none"/>
          <w:lang w:val="en-US" w:eastAsia="zh-CN"/>
        </w:rPr>
        <w:t>，主要包括①跟踪、结算审计、②抽复审、③组合复审、④计日工、⑤其他小额零星采购等。入围供应商能提供专业工程造价审计服务，严格按照国家政策、行业规定、征集人要求开展协审工作，发表专业意见并出具成果文件，对成果的真实性、完整性、准确性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确定第一阶段入围供应商的评审方法：质量优先法，提交响应文件和符合资格条件、实质性要求的供应商淘汰率按20%计算，且至少淘汰一家供应商（提交响应文件和符合资格条件、实质性要求的供应商少于2家时，采购活动终止）。本项目入围供应商上限为30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3、确定第二阶段成交供应商的方法：</w:t>
      </w:r>
      <w:r>
        <w:rPr>
          <w:rFonts w:hint="eastAsia" w:ascii="宋体" w:hAnsi="宋体" w:cs="宋体"/>
          <w:color w:val="auto"/>
          <w:sz w:val="24"/>
          <w:szCs w:val="24"/>
          <w:highlight w:val="none"/>
        </w:rPr>
        <w:t>直接选定</w:t>
      </w:r>
      <w:r>
        <w:rPr>
          <w:rFonts w:hint="eastAsia" w:ascii="宋体" w:hAnsi="宋体" w:cs="宋体"/>
          <w:color w:val="auto"/>
          <w:sz w:val="24"/>
          <w:szCs w:val="24"/>
          <w:highlight w:val="none"/>
          <w:lang w:eastAsia="zh-CN"/>
        </w:rPr>
        <w:t>，由征集人通过苏采云系统从第一阶段入围供应商中直接选定</w:t>
      </w:r>
      <w:r>
        <w:rPr>
          <w:rFonts w:hint="eastAsia" w:ascii="宋体" w:hAnsi="宋体" w:eastAsia="宋体" w:cs="宋体"/>
          <w:bCs/>
          <w:color w:val="auto"/>
          <w:sz w:val="24"/>
          <w:szCs w:val="24"/>
          <w:highlight w:val="none"/>
          <w:lang w:eastAsia="zh-CN"/>
        </w:rPr>
        <w:t>。</w:t>
      </w:r>
      <w:r>
        <w:rPr>
          <w:rFonts w:hint="eastAsia" w:ascii="宋体" w:hAnsi="宋体" w:cs="宋体"/>
          <w:color w:val="auto"/>
          <w:sz w:val="24"/>
          <w:szCs w:val="24"/>
          <w:highlight w:val="none"/>
        </w:rPr>
        <w:t>第一阶段入围供应商的协议价格是</w:t>
      </w:r>
      <w:r>
        <w:rPr>
          <w:rFonts w:hint="eastAsia" w:ascii="宋体" w:hAnsi="宋体" w:cs="宋体"/>
          <w:color w:val="auto"/>
          <w:sz w:val="24"/>
          <w:szCs w:val="24"/>
          <w:highlight w:val="none"/>
          <w:lang w:eastAsia="zh-CN"/>
        </w:rPr>
        <w:t>征集人</w:t>
      </w:r>
      <w:r>
        <w:rPr>
          <w:rFonts w:hint="eastAsia" w:ascii="宋体" w:hAnsi="宋体" w:cs="宋体"/>
          <w:color w:val="auto"/>
          <w:sz w:val="24"/>
          <w:szCs w:val="24"/>
          <w:highlight w:val="none"/>
        </w:rPr>
        <w:t>确定第二阶段成交供应商的</w:t>
      </w:r>
      <w:r>
        <w:rPr>
          <w:rFonts w:hint="eastAsia" w:ascii="宋体" w:hAnsi="宋体" w:eastAsia="宋体" w:cs="Times New Roman"/>
          <w:color w:val="auto"/>
          <w:sz w:val="24"/>
          <w:szCs w:val="24"/>
          <w:highlight w:val="none"/>
          <w:lang w:val="en-US" w:eastAsia="zh-CN"/>
        </w:rPr>
        <w:t xml:space="preserve">最高限价。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第二阶段成交供应商确定方式：通过随机确定法（抽签法），在入围机构范围内直接选定成交供应商。成交供应商总数为A（偶数），“抽签池”、“等候池”家数各半为A/2；总数为B（奇数），（B+1）/2为“抽签池”数量，剩余家数进入“等候池”。以总数30家为例，具体操作办法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1.组建“抽签池”、“等候池”。第一阶段综合评分前15名进入协审机构“抽签池”，按得分高低进行排序；剩余15家进入“等候池”，按得分高低进行排序。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2.确定成交供应商。组织“抽签池”的15家中介机构按随机确定法（抽签法），选定成交供应商。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3.候选供应商轮换。成交供应商将按顺序放入等候池名单的最末位，再将等候池名单中排序第一位的协审机构放入抽签池中，补足15家，以此往复。确保抽签池中有15家协审机构，其余协审机构按序在等候池中按顺序排列。</w:t>
      </w:r>
    </w:p>
    <w:p>
      <w:pPr>
        <w:spacing w:before="156" w:beforeLines="50" w:after="156" w:afterLines="50" w:line="360" w:lineRule="auto"/>
        <w:ind w:left="420" w:leftChars="200"/>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三、技术参数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Times New Roman"/>
          <w:b/>
          <w:bCs/>
          <w:color w:val="auto"/>
          <w:sz w:val="24"/>
          <w:szCs w:val="24"/>
          <w:highlight w:val="none"/>
          <w:lang w:val="en-US" w:eastAsia="zh-CN"/>
        </w:rPr>
      </w:pPr>
      <w:r>
        <w:rPr>
          <w:rFonts w:hint="default" w:ascii="宋体" w:hAnsi="宋体" w:eastAsia="宋体" w:cs="Times New Roman"/>
          <w:b/>
          <w:bCs/>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w:t>
      </w:r>
      <w:r>
        <w:rPr>
          <w:rFonts w:hint="default" w:ascii="宋体" w:hAnsi="宋体" w:eastAsia="宋体" w:cs="Times New Roman"/>
          <w:b/>
          <w:bCs/>
          <w:color w:val="auto"/>
          <w:sz w:val="24"/>
          <w:szCs w:val="24"/>
          <w:highlight w:val="none"/>
          <w:lang w:val="en-US" w:eastAsia="zh-CN"/>
        </w:rPr>
        <w:t>信用承诺。投标人入围框架协议必须达到以下要求，并在投标文件中做出书面承诺</w:t>
      </w:r>
      <w:r>
        <w:rPr>
          <w:rFonts w:hint="eastAsia" w:ascii="宋体" w:hAnsi="宋体" w:eastAsia="宋体" w:cs="Times New Roman"/>
          <w:b/>
          <w:bCs/>
          <w:color w:val="auto"/>
          <w:sz w:val="24"/>
          <w:szCs w:val="24"/>
          <w:highlight w:val="none"/>
          <w:lang w:val="en-US" w:eastAsia="zh-CN"/>
        </w:rPr>
        <w:t>（承诺函格式自拟）</w:t>
      </w:r>
      <w:r>
        <w:rPr>
          <w:rFonts w:hint="default" w:ascii="宋体" w:hAnsi="宋体" w:eastAsia="宋体" w:cs="Times New Roman"/>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（1）未以商业贿赂、恶意压低收费等方式进行不正当竞争；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（2）未转包承接的工程造价咨询业务；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（3）除法律、法规另有规定和经委托人书面同意外，未对外提供工程造价咨询服务过程中获知的当事人的商业秘密和业务资料；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（4）法定代表人（含主要负责人）或分支机构负责人未有行贿、受贿、经济犯罪行为。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（5）未被县级及以上人民政府、相关行政主管部门记录不良行为。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（6）未在申报中弄虚作假、隐瞒真相。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（7）未有其他违法、违规行为，未受到相关主管部门暂停资格以上处罚。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（8）未违背“独立、客观、公正”的原则，出具虚假造价文件，或与建设项目市场主体任何一方串通作弊，故意抬高或压低工程造价。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（9）成果文件均按规定具有合法合规的注册造价师签名盖章和咨询企业执业印章。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（10）未由于咨询企业行为过错给当事人造成重大经济损失。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（11）依据《政府采购法实施条例》第十八条的规定，单位负责人为同一人或者存在直接控股、管理关系的不同供应商，不得参加同一合同项下的政府采购活动。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（12）无《江苏省政府采购供应商监督管理暂行办法》（苏财规〔2013〕28号）第二十条中所列“恶意串通”情形。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3</w:t>
      </w:r>
      <w:r>
        <w:rPr>
          <w:rFonts w:hint="default" w:ascii="宋体" w:hAnsi="宋体" w:eastAsia="宋体" w:cs="Times New Roman"/>
          <w:color w:val="auto"/>
          <w:sz w:val="24"/>
          <w:szCs w:val="24"/>
          <w:highlight w:val="none"/>
          <w:lang w:val="en-US" w:eastAsia="zh-CN"/>
        </w:rPr>
        <w:t>）无法律、法规、规章规定的其他违法违规行为。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若在订立框架协议时及订立框架协议后发现有违背上述承诺的情况，一经发现，取消入围资格，并在3年内不接受重新订立框架协议的申请。</w:t>
      </w:r>
    </w:p>
    <w:p>
      <w:pPr>
        <w:pStyle w:val="2"/>
        <w:numPr>
          <w:ilvl w:val="0"/>
          <w:numId w:val="4"/>
        </w:numPr>
        <w:spacing w:line="360" w:lineRule="auto"/>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办公场所</w:t>
      </w:r>
      <w:r>
        <w:rPr>
          <w:rFonts w:hint="eastAsia" w:ascii="宋体" w:hAnsi="宋体" w:cs="Times New Roman"/>
          <w:b/>
          <w:bCs/>
          <w:color w:val="auto"/>
          <w:sz w:val="24"/>
          <w:szCs w:val="24"/>
          <w:highlight w:val="none"/>
          <w:lang w:val="en-US" w:eastAsia="zh-CN"/>
        </w:rPr>
        <w:t>。</w:t>
      </w:r>
      <w:r>
        <w:rPr>
          <w:rFonts w:hint="eastAsia" w:ascii="宋体" w:hAnsi="宋体" w:eastAsia="宋体" w:cs="Times New Roman"/>
          <w:b/>
          <w:bCs/>
          <w:color w:val="auto"/>
          <w:sz w:val="24"/>
          <w:szCs w:val="24"/>
          <w:highlight w:val="none"/>
          <w:lang w:val="en-US" w:eastAsia="zh-CN"/>
        </w:rPr>
        <w:t>（</w:t>
      </w:r>
      <w:r>
        <w:rPr>
          <w:rFonts w:hint="default" w:ascii="宋体" w:hAnsi="宋体" w:eastAsia="宋体" w:cs="Times New Roman"/>
          <w:b/>
          <w:bCs/>
          <w:color w:val="auto"/>
          <w:sz w:val="24"/>
          <w:szCs w:val="24"/>
          <w:highlight w:val="none"/>
          <w:lang w:val="en-US" w:eastAsia="zh-CN"/>
        </w:rPr>
        <w:t>投标人入围框架协议</w:t>
      </w:r>
      <w:r>
        <w:rPr>
          <w:rFonts w:hint="eastAsia" w:ascii="宋体" w:hAnsi="宋体" w:cs="Times New Roman"/>
          <w:b/>
          <w:bCs/>
          <w:color w:val="auto"/>
          <w:sz w:val="24"/>
          <w:szCs w:val="24"/>
          <w:highlight w:val="none"/>
          <w:lang w:val="en-US" w:eastAsia="zh-CN"/>
        </w:rPr>
        <w:t>之后</w:t>
      </w:r>
      <w:r>
        <w:rPr>
          <w:rFonts w:hint="default" w:ascii="宋体" w:hAnsi="宋体" w:eastAsia="宋体" w:cs="Times New Roman"/>
          <w:b/>
          <w:bCs/>
          <w:color w:val="auto"/>
          <w:sz w:val="24"/>
          <w:szCs w:val="24"/>
          <w:highlight w:val="none"/>
          <w:lang w:val="en-US" w:eastAsia="zh-CN"/>
        </w:rPr>
        <w:t>必须达到以下要求，并在投标文件中做出书面承诺（承诺函格式自拟）</w:t>
      </w:r>
      <w:r>
        <w:rPr>
          <w:rFonts w:hint="eastAsia" w:ascii="宋体" w:hAnsi="宋体" w:eastAsia="宋体" w:cs="Times New Roman"/>
          <w:b/>
          <w:bCs/>
          <w:color w:val="auto"/>
          <w:sz w:val="24"/>
          <w:szCs w:val="24"/>
          <w:highlight w:val="none"/>
          <w:lang w:val="en-US" w:eastAsia="zh-CN"/>
        </w:rPr>
        <w:t>）：</w:t>
      </w:r>
    </w:p>
    <w:p>
      <w:pPr>
        <w:pStyle w:val="2"/>
        <w:numPr>
          <w:ilvl w:val="0"/>
          <w:numId w:val="0"/>
        </w:numPr>
        <w:spacing w:line="360" w:lineRule="auto"/>
        <w:ind w:firstLine="480" w:firstLineChars="200"/>
        <w:rPr>
          <w:rFonts w:hint="eastAsia" w:ascii="宋体" w:hAnsi="宋体" w:cs="Times New Roman"/>
          <w:b w:val="0"/>
          <w:bCs w:val="0"/>
          <w:color w:val="auto"/>
          <w:kern w:val="2"/>
          <w:sz w:val="24"/>
          <w:szCs w:val="24"/>
          <w:highlight w:val="none"/>
          <w:lang w:val="en-US" w:eastAsia="zh-CN" w:bidi="ar-SA"/>
        </w:rPr>
      </w:pPr>
      <w:r>
        <w:rPr>
          <w:rFonts w:hint="eastAsia" w:ascii="宋体" w:hAnsi="宋体" w:cs="Times New Roman"/>
          <w:b w:val="0"/>
          <w:bCs w:val="0"/>
          <w:color w:val="auto"/>
          <w:kern w:val="2"/>
          <w:sz w:val="24"/>
          <w:szCs w:val="24"/>
          <w:highlight w:val="none"/>
          <w:lang w:val="en-US" w:eastAsia="zh-CN" w:bidi="ar-SA"/>
        </w:rPr>
        <w:t>供应商承诺在宜兴市行政区域范围内具有办公场所（自有或租赁），自有或租赁结束期不早于</w:t>
      </w:r>
      <w:r>
        <w:rPr>
          <w:rFonts w:hint="default" w:ascii="宋体" w:hAnsi="宋体" w:eastAsia="宋体" w:cs="Times New Roman"/>
          <w:b/>
          <w:bCs/>
          <w:color w:val="auto"/>
          <w:sz w:val="24"/>
          <w:szCs w:val="24"/>
          <w:highlight w:val="none"/>
          <w:lang w:val="en-US" w:eastAsia="zh-CN"/>
        </w:rPr>
        <w:t>202</w:t>
      </w:r>
      <w:r>
        <w:rPr>
          <w:rFonts w:hint="eastAsia" w:ascii="宋体" w:hAnsi="宋体" w:eastAsia="宋体" w:cs="Times New Roman"/>
          <w:b/>
          <w:bCs/>
          <w:color w:val="auto"/>
          <w:sz w:val="24"/>
          <w:szCs w:val="24"/>
          <w:highlight w:val="none"/>
          <w:lang w:val="en-US" w:eastAsia="zh-CN"/>
        </w:rPr>
        <w:t>5</w:t>
      </w:r>
      <w:r>
        <w:rPr>
          <w:rFonts w:hint="default" w:ascii="宋体" w:hAnsi="宋体" w:eastAsia="宋体" w:cs="Times New Roman"/>
          <w:b/>
          <w:bCs/>
          <w:color w:val="auto"/>
          <w:sz w:val="24"/>
          <w:szCs w:val="24"/>
          <w:highlight w:val="none"/>
          <w:lang w:val="en-US" w:eastAsia="zh-CN"/>
        </w:rPr>
        <w:t>年</w:t>
      </w:r>
      <w:r>
        <w:rPr>
          <w:rFonts w:hint="eastAsia" w:ascii="宋体" w:hAnsi="宋体" w:eastAsia="宋体" w:cs="Times New Roman"/>
          <w:b/>
          <w:bCs/>
          <w:color w:val="auto"/>
          <w:sz w:val="24"/>
          <w:szCs w:val="24"/>
          <w:highlight w:val="none"/>
          <w:lang w:val="en-US" w:eastAsia="zh-CN"/>
        </w:rPr>
        <w:t>6</w:t>
      </w:r>
      <w:r>
        <w:rPr>
          <w:rFonts w:hint="default" w:ascii="宋体" w:hAnsi="宋体" w:eastAsia="宋体" w:cs="Times New Roman"/>
          <w:b/>
          <w:bCs/>
          <w:color w:val="auto"/>
          <w:sz w:val="24"/>
          <w:szCs w:val="24"/>
          <w:highlight w:val="none"/>
          <w:lang w:val="en-US" w:eastAsia="zh-CN"/>
        </w:rPr>
        <w:t>月</w:t>
      </w:r>
      <w:r>
        <w:rPr>
          <w:rFonts w:hint="eastAsia" w:ascii="宋体" w:hAnsi="宋体" w:eastAsia="宋体" w:cs="Times New Roman"/>
          <w:b/>
          <w:bCs/>
          <w:color w:val="auto"/>
          <w:sz w:val="24"/>
          <w:szCs w:val="24"/>
          <w:highlight w:val="none"/>
          <w:lang w:val="en-US" w:eastAsia="zh-CN"/>
        </w:rPr>
        <w:t>30</w:t>
      </w:r>
      <w:r>
        <w:rPr>
          <w:rFonts w:hint="default" w:ascii="宋体" w:hAnsi="宋体" w:eastAsia="宋体" w:cs="Times New Roman"/>
          <w:b/>
          <w:bCs/>
          <w:color w:val="auto"/>
          <w:sz w:val="24"/>
          <w:szCs w:val="24"/>
          <w:highlight w:val="none"/>
          <w:lang w:val="en-US" w:eastAsia="zh-CN"/>
        </w:rPr>
        <w:t>日</w:t>
      </w:r>
      <w:r>
        <w:rPr>
          <w:rFonts w:hint="eastAsia" w:ascii="宋体" w:hAnsi="宋体" w:cs="Times New Roman"/>
          <w:b w:val="0"/>
          <w:bCs w:val="0"/>
          <w:color w:val="auto"/>
          <w:kern w:val="2"/>
          <w:sz w:val="24"/>
          <w:szCs w:val="24"/>
          <w:highlight w:val="none"/>
          <w:lang w:val="en-US" w:eastAsia="zh-CN" w:bidi="ar-SA"/>
        </w:rPr>
        <w:t>，并与投标供应商企业规模、性质、人员数量相匹配（拟入围人员人均面积不少于10个平方）。</w:t>
      </w:r>
    </w:p>
    <w:p>
      <w:pPr>
        <w:pStyle w:val="2"/>
        <w:numPr>
          <w:ilvl w:val="0"/>
          <w:numId w:val="0"/>
        </w:numPr>
        <w:spacing w:line="360" w:lineRule="auto"/>
        <w:ind w:firstLine="480" w:firstLineChars="200"/>
        <w:rPr>
          <w:rFonts w:hint="default" w:ascii="宋体" w:hAnsi="宋体" w:eastAsia="宋体" w:cs="Times New Roman"/>
          <w:b/>
          <w:bCs/>
          <w:color w:val="auto"/>
          <w:sz w:val="24"/>
          <w:szCs w:val="24"/>
          <w:highlight w:val="none"/>
          <w:lang w:val="en-US" w:eastAsia="zh-CN"/>
        </w:rPr>
      </w:pPr>
      <w:r>
        <w:rPr>
          <w:rFonts w:hint="eastAsia" w:ascii="宋体" w:hAnsi="宋体" w:cs="Times New Roman"/>
          <w:b w:val="0"/>
          <w:bCs w:val="0"/>
          <w:color w:val="auto"/>
          <w:kern w:val="2"/>
          <w:sz w:val="24"/>
          <w:szCs w:val="24"/>
          <w:highlight w:val="none"/>
          <w:lang w:val="en-US" w:eastAsia="zh-CN" w:bidi="ar-SA"/>
        </w:rPr>
        <w:t>3</w:t>
      </w:r>
      <w:r>
        <w:rPr>
          <w:rFonts w:hint="eastAsia" w:ascii="宋体" w:hAnsi="宋体" w:eastAsia="宋体" w:cs="Times New Roman"/>
          <w:color w:val="auto"/>
          <w:sz w:val="24"/>
          <w:szCs w:val="24"/>
          <w:highlight w:val="none"/>
          <w:lang w:val="en-US" w:eastAsia="zh-CN"/>
        </w:rPr>
        <w:t>、</w:t>
      </w:r>
      <w:r>
        <w:rPr>
          <w:rFonts w:hint="default" w:ascii="宋体" w:hAnsi="宋体" w:eastAsia="宋体" w:cs="Times New Roman"/>
          <w:color w:val="auto"/>
          <w:sz w:val="24"/>
          <w:szCs w:val="24"/>
          <w:highlight w:val="none"/>
          <w:lang w:val="en-US" w:eastAsia="zh-CN"/>
        </w:rPr>
        <w:t>拟入围机构从事工程造价专业人员不少于6人，执业资格需为</w:t>
      </w:r>
      <w:r>
        <w:rPr>
          <w:rFonts w:hint="eastAsia" w:ascii="宋体" w:hAnsi="宋体" w:eastAsia="宋体" w:cs="Times New Roman"/>
          <w:color w:val="auto"/>
          <w:sz w:val="24"/>
          <w:szCs w:val="24"/>
          <w:highlight w:val="none"/>
          <w:lang w:val="en-US" w:eastAsia="zh-CN"/>
        </w:rPr>
        <w:t>二级及以上</w:t>
      </w:r>
      <w:r>
        <w:rPr>
          <w:rFonts w:hint="default" w:ascii="宋体" w:hAnsi="宋体" w:eastAsia="宋体" w:cs="Times New Roman"/>
          <w:color w:val="auto"/>
          <w:sz w:val="24"/>
          <w:szCs w:val="24"/>
          <w:highlight w:val="none"/>
          <w:lang w:val="en-US" w:eastAsia="zh-CN"/>
        </w:rPr>
        <w:t>注册造价工程师。所有专业人员需与所在造价咨询机构（总公司或分支机构）签订聘用合同。</w:t>
      </w:r>
      <w:r>
        <w:rPr>
          <w:rFonts w:hint="eastAsia" w:ascii="宋体" w:hAnsi="宋体" w:eastAsia="宋体" w:cs="Times New Roman"/>
          <w:b/>
          <w:bCs/>
          <w:color w:val="auto"/>
          <w:sz w:val="24"/>
          <w:szCs w:val="24"/>
          <w:highlight w:val="none"/>
          <w:lang w:val="en-US" w:eastAsia="zh-CN"/>
        </w:rPr>
        <w:t>（</w:t>
      </w:r>
      <w:r>
        <w:rPr>
          <w:rFonts w:hint="default" w:ascii="宋体" w:hAnsi="宋体" w:eastAsia="宋体" w:cs="Times New Roman"/>
          <w:b/>
          <w:bCs/>
          <w:color w:val="auto"/>
          <w:sz w:val="24"/>
          <w:szCs w:val="24"/>
          <w:highlight w:val="none"/>
          <w:lang w:val="en-US" w:eastAsia="zh-CN"/>
        </w:rPr>
        <w:t>以上专业人员所涉及的聘用合同、专业技术职称、注册造价工程师、造价员资格等</w:t>
      </w:r>
      <w:r>
        <w:rPr>
          <w:rFonts w:hint="eastAsia" w:ascii="宋体" w:hAnsi="宋体" w:eastAsia="宋体" w:cs="Times New Roman"/>
          <w:b/>
          <w:bCs/>
          <w:color w:val="auto"/>
          <w:sz w:val="24"/>
          <w:szCs w:val="24"/>
          <w:highlight w:val="none"/>
          <w:lang w:val="en-US" w:eastAsia="zh-CN"/>
        </w:rPr>
        <w:t>原件扫描件</w:t>
      </w:r>
      <w:r>
        <w:rPr>
          <w:rFonts w:hint="default" w:ascii="宋体" w:hAnsi="宋体" w:eastAsia="宋体" w:cs="Times New Roman"/>
          <w:b/>
          <w:bCs/>
          <w:color w:val="auto"/>
          <w:sz w:val="24"/>
          <w:szCs w:val="24"/>
          <w:highlight w:val="none"/>
          <w:lang w:val="en-US" w:eastAsia="zh-CN"/>
        </w:rPr>
        <w:t>需放入投标文件中。同时投标人须提供拟入围人员</w:t>
      </w:r>
      <w:r>
        <w:rPr>
          <w:rFonts w:hint="eastAsia" w:ascii="宋体" w:hAnsi="宋体" w:eastAsia="宋体" w:cs="Times New Roman"/>
          <w:b/>
          <w:bCs/>
          <w:color w:val="auto"/>
          <w:sz w:val="24"/>
          <w:szCs w:val="24"/>
          <w:highlight w:val="none"/>
          <w:lang w:val="en-US" w:eastAsia="zh-CN"/>
        </w:rPr>
        <w:t>开标前6个月内连续</w:t>
      </w:r>
      <w:r>
        <w:rPr>
          <w:rFonts w:hint="default" w:ascii="宋体" w:hAnsi="宋体" w:eastAsia="宋体" w:cs="Times New Roman"/>
          <w:b/>
          <w:bCs/>
          <w:color w:val="auto"/>
          <w:sz w:val="24"/>
          <w:szCs w:val="24"/>
          <w:highlight w:val="none"/>
          <w:lang w:val="en-US" w:eastAsia="zh-CN"/>
        </w:rPr>
        <w:t>三个月的社会保险缴费证明的</w:t>
      </w:r>
      <w:r>
        <w:rPr>
          <w:rFonts w:hint="eastAsia" w:ascii="宋体" w:hAnsi="宋体" w:eastAsia="宋体" w:cs="Times New Roman"/>
          <w:b/>
          <w:bCs/>
          <w:color w:val="auto"/>
          <w:sz w:val="24"/>
          <w:szCs w:val="24"/>
          <w:highlight w:val="none"/>
          <w:lang w:val="en-US" w:eastAsia="zh-CN"/>
        </w:rPr>
        <w:t>原件扫描件</w:t>
      </w:r>
      <w:r>
        <w:rPr>
          <w:rFonts w:hint="default" w:ascii="宋体" w:hAnsi="宋体" w:eastAsia="宋体" w:cs="Times New Roman"/>
          <w:b/>
          <w:bCs/>
          <w:color w:val="auto"/>
          <w:sz w:val="24"/>
          <w:szCs w:val="24"/>
          <w:highlight w:val="none"/>
          <w:lang w:val="en-US" w:eastAsia="zh-CN"/>
        </w:rPr>
        <w:t>。社会保险缴费证明需加盖人社部门业务专用章，同时注明单位名称和个人姓名等。</w:t>
      </w:r>
      <w:r>
        <w:rPr>
          <w:rFonts w:hint="eastAsia" w:ascii="宋体" w:hAnsi="宋体" w:eastAsia="宋体" w:cs="Times New Roman"/>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4、与采购人已签订的正在履行的合同中，有不得参加本次投标的相应条款或其他情形的供应商，不得参与本次框架协议征集活动。参与投标活动的，按废标处理。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5、与采购人已签订的正在履行的合同中，有不得参加本次投标的相应条款或其他情形的专业人员，不得参与本次框架协议征集活动的评审；参与投标活动的，该人员不得分且不得入围本次框架协议。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w:t>
      </w:r>
      <w:r>
        <w:rPr>
          <w:rFonts w:hint="default" w:ascii="宋体" w:hAnsi="宋体" w:eastAsia="宋体" w:cs="Times New Roman"/>
          <w:color w:val="auto"/>
          <w:sz w:val="24"/>
          <w:szCs w:val="24"/>
          <w:highlight w:val="none"/>
          <w:lang w:val="en-US" w:eastAsia="zh-CN"/>
        </w:rPr>
        <w:t>费用计取标准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1）跟踪、结算项目协审费用原则上按照《关于市政府建设项目委托中介机构参审审计费用结算问题的协调会议纪要》（详见宜纪〔2009〕23号文件）的70%计取。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（2）复核项目协审费用原则上按照《关于市政府建设项目委托中介机构参审审计费用结算问题的协调会议纪要》（详见宜纪〔2009〕23号文件）的90%计取。接受宜兴市审计局考核，最终结算费用与考核结果挂钩。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（3）复审项目协审费用按照市政府投资建设项目抽复审工作相关规定计取。接受宜兴市审计局考核，最终结算费用与考核结果挂钩。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eastAsia="zh-CN"/>
        </w:rPr>
      </w:pPr>
      <w:r>
        <w:rPr>
          <w:rFonts w:hint="default" w:ascii="宋体" w:hAnsi="宋体" w:eastAsia="宋体" w:cs="Times New Roman"/>
          <w:color w:val="auto"/>
          <w:sz w:val="24"/>
          <w:szCs w:val="24"/>
          <w:highlight w:val="none"/>
          <w:lang w:val="en-US" w:eastAsia="zh-CN"/>
        </w:rPr>
        <w:t>（4）以工作日为单位计算报酬的计日工，按照以下标准计算聘请费用：注册造价工程师1800元/人·天（含税）；一般工程协审人员900元/人·天（含税）。接受宜兴市审计局考核，最终结算费用与考核结果挂钩。</w:t>
      </w:r>
    </w:p>
    <w:p>
      <w:pPr>
        <w:spacing w:before="156" w:beforeLines="50" w:after="156" w:afterLines="50" w:line="360" w:lineRule="auto"/>
        <w:ind w:left="420" w:leftChars="200"/>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四</w:t>
      </w:r>
      <w:r>
        <w:rPr>
          <w:rFonts w:hint="eastAsia" w:ascii="宋体" w:hAnsi="宋体"/>
          <w:b/>
          <w:bCs/>
          <w:color w:val="auto"/>
          <w:sz w:val="24"/>
          <w:szCs w:val="24"/>
          <w:highlight w:val="none"/>
        </w:rPr>
        <w:t>、实质性要求</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w:t>
      </w:r>
      <w:r>
        <w:rPr>
          <w:rFonts w:hint="eastAsia" w:ascii="宋体" w:hAnsi="宋体"/>
          <w:color w:val="auto"/>
          <w:sz w:val="24"/>
          <w:highlight w:val="none"/>
        </w:rPr>
        <w:t>章</w:t>
      </w:r>
      <w:r>
        <w:rPr>
          <w:rFonts w:hint="eastAsia" w:ascii="宋体" w:hAnsi="宋体"/>
          <w:color w:val="auto"/>
          <w:sz w:val="24"/>
          <w:szCs w:val="24"/>
          <w:highlight w:val="none"/>
        </w:rPr>
        <w:t>有关服务与商务条款的要求为基准要求，如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不能完全符合此基准要求，可高于此基准要求进行投标，</w:t>
      </w:r>
      <w:r>
        <w:rPr>
          <w:rFonts w:hint="eastAsia" w:ascii="宋体" w:hAnsi="宋体"/>
          <w:color w:val="auto"/>
          <w:sz w:val="24"/>
          <w:szCs w:val="24"/>
          <w:highlight w:val="none"/>
          <w:lang w:eastAsia="zh-CN"/>
        </w:rPr>
        <w:t>征集人</w:t>
      </w:r>
      <w:r>
        <w:rPr>
          <w:rFonts w:hint="eastAsia" w:ascii="宋体" w:hAnsi="宋体"/>
          <w:color w:val="auto"/>
          <w:sz w:val="24"/>
          <w:szCs w:val="24"/>
          <w:highlight w:val="none"/>
        </w:rPr>
        <w:t>将不接受低于该基准要求（负偏离）的投标，</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需对此基准要求作实质性响应。</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1.服务地点：采购人指定地点。</w:t>
      </w:r>
    </w:p>
    <w:p>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2.验收方式：采购人根据国家有关规定、招投标文件以及合同约定的内容组织验收，具体验收办法详见《宜兴市政府采购项目履约验收管理办法》（宜财采〔2023〕3号）。</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eastAsia"/>
          <w:color w:val="auto"/>
          <w:highlight w:val="none"/>
        </w:rPr>
      </w:pPr>
      <w:r>
        <w:rPr>
          <w:rFonts w:hint="eastAsia" w:ascii="黑体" w:hAnsi="黑体" w:eastAsia="黑体"/>
          <w:color w:val="auto"/>
          <w:sz w:val="28"/>
          <w:highlight w:val="none"/>
        </w:rPr>
        <w:t>第</w:t>
      </w:r>
      <w:r>
        <w:rPr>
          <w:rFonts w:hint="eastAsia" w:ascii="黑体" w:hAnsi="黑体" w:eastAsia="黑体"/>
          <w:color w:val="auto"/>
          <w:sz w:val="28"/>
          <w:highlight w:val="none"/>
          <w:lang w:val="en-US" w:eastAsia="zh-CN"/>
        </w:rPr>
        <w:t>三</w:t>
      </w:r>
      <w:r>
        <w:rPr>
          <w:rFonts w:hint="eastAsia" w:ascii="黑体" w:hAnsi="黑体" w:eastAsia="黑体"/>
          <w:color w:val="auto"/>
          <w:sz w:val="28"/>
          <w:highlight w:val="none"/>
        </w:rPr>
        <w:t>章 评标方法和标准</w:t>
      </w:r>
      <w:bookmarkEnd w:id="6"/>
    </w:p>
    <w:p>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2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4"/>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3684" w:type="dxa"/>
            <w:vAlign w:val="center"/>
          </w:tcPr>
          <w:p>
            <w:pPr>
              <w:jc w:val="center"/>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评分标准</w:t>
            </w:r>
          </w:p>
        </w:tc>
        <w:tc>
          <w:tcPr>
            <w:tcW w:w="5667"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lang w:val="en-US" w:eastAsia="zh-CN"/>
              </w:rPr>
              <w:t>100</w:t>
            </w:r>
            <w:r>
              <w:rPr>
                <w:rFonts w:hint="eastAsia" w:ascii="宋体" w:hAnsi="宋体"/>
                <w:color w:val="auto"/>
                <w:sz w:val="24"/>
                <w:szCs w:val="24"/>
                <w:highlight w:val="none"/>
              </w:rPr>
              <w:t>分</w:t>
            </w:r>
          </w:p>
        </w:tc>
      </w:tr>
    </w:tbl>
    <w:p>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12"/>
        <w:gridCol w:w="1254"/>
        <w:gridCol w:w="806"/>
        <w:gridCol w:w="6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bookmarkStart w:id="7" w:name="OLE_LINK8"/>
            <w:r>
              <w:rPr>
                <w:rFonts w:hint="eastAsia" w:ascii="宋体" w:hAnsi="宋体" w:eastAsia="宋体" w:cs="宋体"/>
                <w:color w:val="auto"/>
                <w:sz w:val="24"/>
                <w:szCs w:val="24"/>
                <w:highlight w:val="none"/>
              </w:rPr>
              <w:t>评审内容</w:t>
            </w: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主观评审因素</w:t>
            </w: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协审实施方案</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9分</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实际</w:t>
            </w:r>
            <w:r>
              <w:rPr>
                <w:rFonts w:hint="eastAsia" w:ascii="宋体" w:hAnsi="宋体" w:eastAsia="宋体" w:cs="宋体"/>
                <w:color w:val="auto"/>
                <w:sz w:val="24"/>
                <w:szCs w:val="24"/>
                <w:highlight w:val="none"/>
              </w:rPr>
              <w:t>特点，撰写</w:t>
            </w:r>
            <w:r>
              <w:rPr>
                <w:rFonts w:hint="eastAsia" w:ascii="宋体" w:hAnsi="宋体" w:eastAsia="宋体" w:cs="宋体"/>
                <w:color w:val="auto"/>
                <w:sz w:val="24"/>
                <w:szCs w:val="24"/>
                <w:highlight w:val="none"/>
                <w:lang w:val="en-US" w:eastAsia="zh-CN"/>
              </w:rPr>
              <w:t>协审</w:t>
            </w:r>
            <w:r>
              <w:rPr>
                <w:rFonts w:hint="eastAsia" w:ascii="宋体" w:hAnsi="宋体" w:eastAsia="宋体" w:cs="宋体"/>
                <w:color w:val="auto"/>
                <w:sz w:val="24"/>
                <w:szCs w:val="24"/>
                <w:highlight w:val="none"/>
              </w:rPr>
              <w:t>实施方案，包括但不仅限于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内控</w:t>
            </w:r>
            <w:r>
              <w:rPr>
                <w:rFonts w:hint="eastAsia" w:ascii="宋体" w:hAnsi="宋体" w:eastAsia="宋体" w:cs="宋体"/>
                <w:color w:val="auto"/>
                <w:sz w:val="24"/>
                <w:szCs w:val="24"/>
                <w:highlight w:val="none"/>
              </w:rPr>
              <w:t>制度，审计组织管理等：</w:t>
            </w:r>
          </w:p>
          <w:p>
            <w:pPr>
              <w:numPr>
                <w:ilvl w:val="0"/>
                <w:numId w:val="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协审</w:t>
            </w:r>
            <w:r>
              <w:rPr>
                <w:rFonts w:hint="eastAsia" w:ascii="宋体" w:hAnsi="宋体" w:eastAsia="宋体" w:cs="宋体"/>
                <w:color w:val="auto"/>
                <w:sz w:val="24"/>
                <w:szCs w:val="24"/>
                <w:highlight w:val="none"/>
              </w:rPr>
              <w:t>实施方案：</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针对审计服务的时间、方法、流程、措施全面、合理、有针对、规范性强的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较详实全面的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全面性、合理性一般的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其余情况不得分。</w:t>
            </w:r>
          </w:p>
          <w:p>
            <w:pPr>
              <w:numPr>
                <w:ilvl w:val="0"/>
                <w:numId w:val="5"/>
              </w:num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内控制度</w:t>
            </w:r>
          </w:p>
          <w:p>
            <w:pPr>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内控制度内容健全、能有效落实并能合理且有针对性的举例说明</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w:t>
            </w:r>
          </w:p>
          <w:p>
            <w:pPr>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有相关内控制度且能基本落实</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，得2分；</w:t>
            </w:r>
          </w:p>
          <w:p>
            <w:pPr>
              <w:numPr>
                <w:ilvl w:val="0"/>
                <w:numId w:val="0"/>
              </w:numPr>
              <w:spacing w:line="360" w:lineRule="auto"/>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内控制度制定及落实一般的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得1分</w:t>
            </w:r>
            <w:r>
              <w:rPr>
                <w:rFonts w:hint="eastAsia" w:ascii="宋体" w:hAnsi="宋体" w:eastAsia="宋体" w:cs="宋体"/>
                <w:color w:val="auto"/>
                <w:sz w:val="24"/>
                <w:szCs w:val="24"/>
                <w:highlight w:val="none"/>
                <w:lang w:eastAsia="zh-CN"/>
              </w:rPr>
              <w:t>；</w:t>
            </w:r>
          </w:p>
          <w:p>
            <w:pPr>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其余情况不得分。</w:t>
            </w:r>
          </w:p>
          <w:p>
            <w:pPr>
              <w:numPr>
                <w:ilvl w:val="0"/>
                <w:numId w:val="5"/>
              </w:numPr>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审计组织管理及人员配备</w:t>
            </w:r>
            <w:r>
              <w:rPr>
                <w:rFonts w:hint="eastAsia" w:ascii="宋体" w:hAnsi="宋体" w:eastAsia="宋体" w:cs="宋体"/>
                <w:color w:val="auto"/>
                <w:sz w:val="24"/>
                <w:szCs w:val="24"/>
                <w:highlight w:val="none"/>
                <w:lang w:val="en-US" w:eastAsia="zh-CN"/>
              </w:rPr>
              <w:t>方案</w:t>
            </w:r>
          </w:p>
          <w:p>
            <w:pPr>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审计组织管理及人员配备</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科学、合理、全面，能有效提高协审效率及协审质量的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得3分；</w:t>
            </w:r>
          </w:p>
          <w:p>
            <w:pPr>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较科学、合理，能提高协审效率的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得2分；</w:t>
            </w:r>
          </w:p>
          <w:p>
            <w:pPr>
              <w:numPr>
                <w:ilvl w:val="0"/>
                <w:numId w:val="0"/>
              </w:numPr>
              <w:spacing w:line="360" w:lineRule="auto"/>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普通、基本达到项目协审条件的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得1分</w:t>
            </w:r>
            <w:r>
              <w:rPr>
                <w:rFonts w:hint="eastAsia" w:ascii="宋体" w:hAnsi="宋体" w:eastAsia="宋体" w:cs="宋体"/>
                <w:color w:val="auto"/>
                <w:sz w:val="24"/>
                <w:szCs w:val="24"/>
                <w:highlight w:val="none"/>
                <w:lang w:eastAsia="zh-CN"/>
              </w:rPr>
              <w:t>；</w:t>
            </w:r>
          </w:p>
          <w:p>
            <w:pPr>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其余情况不得分。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vMerge w:val="continue"/>
            <w:tcBorders>
              <w:left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服务保障</w:t>
            </w:r>
            <w:r>
              <w:rPr>
                <w:rFonts w:hint="eastAsia" w:ascii="宋体" w:hAnsi="宋体" w:eastAsia="宋体" w:cs="宋体"/>
                <w:color w:val="auto"/>
                <w:sz w:val="24"/>
                <w:szCs w:val="24"/>
                <w:highlight w:val="none"/>
                <w:lang w:val="en-US" w:eastAsia="zh-CN"/>
              </w:rPr>
              <w:t>方案</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20分</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撰写服务保障措施，包括但不限于对协审工作需执行的相关标准解读、质效保障、人员考核、信息化、高科技手段等；</w:t>
            </w:r>
          </w:p>
          <w:p>
            <w:pPr>
              <w:numPr>
                <w:ilvl w:val="0"/>
                <w:numId w:val="6"/>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政策掌握能力。</w:t>
            </w:r>
          </w:p>
          <w:p>
            <w:pPr>
              <w:numPr>
                <w:ilvl w:val="0"/>
                <w:numId w:val="0"/>
              </w:num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供应商已有的经验，对宜兴市政府投资项目管理、基本建设程序、工程造价协审管理、造价咨询企业管理等相关政策及要求的掌握程度，包括对政策及要求把握的全面性、相关性、准确性等。全面性、合理性、针对性、规范性强，能灵活运用，严格遵守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得4分；较好，能合理遵守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得3分；全面性、针对性一般的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得2分，其余情况不得分。</w:t>
            </w:r>
          </w:p>
          <w:p>
            <w:pPr>
              <w:numPr>
                <w:ilvl w:val="0"/>
                <w:numId w:val="0"/>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2.进度保障措施。</w:t>
            </w:r>
          </w:p>
          <w:p>
            <w:pPr>
              <w:numPr>
                <w:ilvl w:val="0"/>
                <w:numId w:val="0"/>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有针对协审工作完善、具体的进度保障措施，内部质量控制落实到具体环节、时点、人员的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得4分；有完善的进度保障措施，内部质量控制落实到具体环节、时点的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得3分；有具体的进度保障措施，内部质量控制落实一般的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得2分，其余情况不得分。</w:t>
            </w:r>
          </w:p>
          <w:p>
            <w:pPr>
              <w:numPr>
                <w:ilvl w:val="0"/>
                <w:numId w:val="0"/>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3.内部考核体系。</w:t>
            </w:r>
          </w:p>
          <w:p>
            <w:pPr>
              <w:numPr>
                <w:ilvl w:val="0"/>
                <w:numId w:val="0"/>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投标人提供总公司或在宜已设机构内部考核体系及内部考核成果与报酬挂钩的奖惩情况。</w:t>
            </w:r>
          </w:p>
          <w:p>
            <w:pPr>
              <w:numPr>
                <w:ilvl w:val="0"/>
                <w:numId w:val="0"/>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（1）内部有考核体系，定性正确、表述清晰，有内部考核成果的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得4分；</w:t>
            </w:r>
          </w:p>
          <w:p>
            <w:pPr>
              <w:numPr>
                <w:ilvl w:val="0"/>
                <w:numId w:val="0"/>
              </w:numPr>
              <w:spacing w:line="240" w:lineRule="auto"/>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（2）内部有考核体系，内部层级分工不够明确</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得3分；</w:t>
            </w:r>
          </w:p>
          <w:p>
            <w:pPr>
              <w:numPr>
                <w:ilvl w:val="0"/>
                <w:numId w:val="0"/>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（3）内部有考核体系，表述模糊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得2分；</w:t>
            </w:r>
          </w:p>
          <w:p>
            <w:pPr>
              <w:numPr>
                <w:ilvl w:val="0"/>
                <w:numId w:val="0"/>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（4）内部无考核体系为差得1分。</w:t>
            </w:r>
          </w:p>
          <w:p>
            <w:pPr>
              <w:numPr>
                <w:ilvl w:val="0"/>
                <w:numId w:val="0"/>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4.项目管理平台。</w:t>
            </w:r>
          </w:p>
          <w:p>
            <w:pPr>
              <w:numPr>
                <w:ilvl w:val="0"/>
                <w:numId w:val="0"/>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投标人自身具备审计项目管理平台（或宜兴审计局监督平台）且对该平台操作熟练、在投标项目协审工作中针对信息化管理应用方案（含协审人员审核、机构核查、质量控制等）全面性、合理性、针对性强的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4分；投标人自身具备审计项目管理平台（或宜兴审计局监督平台）且对该平台操作较熟悉、在投标项目协审工作中针对信息化管理应用方案（含协审人员审核、机构核查、质量控制等）较全面、较合理、针对性较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3分；投标人自身具备审计项目管理平台（或宜兴审计局监督平台）且对该平台操作熟悉度一般、在投标项目协审工作中针对信息化管理应用方案（含协审人员审核、机构核查、质量控制等）全面性、合理性、针对性一般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得2分；其余情况不得分。</w:t>
            </w:r>
          </w:p>
          <w:p>
            <w:pPr>
              <w:numPr>
                <w:ilvl w:val="0"/>
                <w:numId w:val="0"/>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5.智能审计。</w:t>
            </w:r>
          </w:p>
          <w:p>
            <w:pPr>
              <w:numPr>
                <w:ilvl w:val="0"/>
                <w:numId w:val="0"/>
              </w:numPr>
              <w:spacing w:line="24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投标人能熟练操作、运用BIM、无人机、GIS技术等科技手段，具备其中一种以上相关软件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设备等，有效提高协审质量及协审效率的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得4分；具有以上技术基础知识并具备基本操作能力，具备其中一种软件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设备，提高协审质量及协审效率的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得3分；具有以上技术基础知识，能基本应用于协审工作的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得2分；其余情况不得分。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vMerge w:val="continue"/>
            <w:tcBorders>
              <w:left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协审成果转化方案</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4分</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投资项目审核过程中或结束后，需对工程节约投资、优化管理、指标控制等方面存在的共性问题进行总结提炼，形成相关经验成果，包括重要控制指标、重点专题审核、典型审核案例等。需提出落实协审成果转化的方案，明确具体举措，包括但不限于问题发现途径、平时关注点、日常控制点、相关人员配备等。</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方案清晰、合理、详细、全面、针对性强、可行性强的 ，得4分；</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方案较清晰、较合理、较详细、较全面、针对性较强、可行性较强的，得3分；</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方案粗糙、针对性一般、可行性一般的，得2分；</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其余情况不得分。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vMerge w:val="continue"/>
            <w:tcBorders>
              <w:left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档案整理与管理</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4分</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供应商在在宜或拟设的办公场所须设立档案整理与管理制度，包括但不限于明确</w:t>
            </w:r>
            <w:r>
              <w:rPr>
                <w:rFonts w:hint="eastAsia" w:ascii="宋体" w:hAnsi="宋体" w:eastAsia="宋体" w:cs="宋体"/>
                <w:color w:val="auto"/>
                <w:sz w:val="24"/>
                <w:szCs w:val="24"/>
                <w:highlight w:val="none"/>
                <w:shd w:val="clear" w:color="auto" w:fill="auto"/>
              </w:rPr>
              <w:t>档案管理的责任单位、要求、归档文件制度的建立情况</w:t>
            </w:r>
            <w:r>
              <w:rPr>
                <w:rFonts w:hint="eastAsia" w:ascii="宋体" w:hAnsi="宋体" w:eastAsia="宋体" w:cs="宋体"/>
                <w:color w:val="auto"/>
                <w:sz w:val="24"/>
                <w:szCs w:val="24"/>
                <w:highlight w:val="none"/>
                <w:shd w:val="clear" w:color="auto" w:fill="auto"/>
                <w:lang w:val="en-US" w:eastAsia="zh-CN"/>
              </w:rPr>
              <w:t>等</w:t>
            </w:r>
            <w:r>
              <w:rPr>
                <w:rFonts w:hint="eastAsia" w:ascii="宋体" w:hAnsi="宋体" w:eastAsia="宋体" w:cs="宋体"/>
                <w:color w:val="auto"/>
                <w:sz w:val="24"/>
                <w:szCs w:val="24"/>
                <w:highlight w:val="none"/>
                <w:shd w:val="clear" w:color="auto" w:fill="auto"/>
              </w:rPr>
              <w:t>。</w:t>
            </w:r>
          </w:p>
          <w:p>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有档案管理制度，表述清晰，可操作性</w:t>
            </w:r>
            <w:r>
              <w:rPr>
                <w:rFonts w:hint="eastAsia" w:ascii="宋体" w:hAnsi="宋体" w:eastAsia="宋体" w:cs="宋体"/>
                <w:color w:val="auto"/>
                <w:sz w:val="24"/>
                <w:szCs w:val="24"/>
                <w:highlight w:val="none"/>
                <w:shd w:val="clear" w:color="auto" w:fill="auto"/>
                <w:lang w:val="en-US" w:eastAsia="zh-CN"/>
              </w:rPr>
              <w:t>强</w:t>
            </w:r>
            <w:r>
              <w:rPr>
                <w:rFonts w:hint="eastAsia" w:ascii="宋体" w:hAnsi="宋体" w:eastAsia="宋体" w:cs="宋体"/>
                <w:color w:val="auto"/>
                <w:sz w:val="24"/>
                <w:szCs w:val="24"/>
                <w:highlight w:val="none"/>
                <w:shd w:val="clear" w:color="auto" w:fill="auto"/>
              </w:rPr>
              <w:t>，且提供20</w:t>
            </w:r>
            <w:r>
              <w:rPr>
                <w:rFonts w:hint="eastAsia" w:ascii="宋体" w:hAnsi="宋体" w:eastAsia="宋体" w:cs="宋体"/>
                <w:color w:val="auto"/>
                <w:sz w:val="24"/>
                <w:szCs w:val="24"/>
                <w:highlight w:val="none"/>
                <w:shd w:val="clear" w:color="auto" w:fill="auto"/>
                <w:lang w:val="en-US" w:eastAsia="zh-CN"/>
              </w:rPr>
              <w:t>23</w:t>
            </w:r>
            <w:r>
              <w:rPr>
                <w:rFonts w:hint="eastAsia" w:ascii="宋体" w:hAnsi="宋体" w:eastAsia="宋体" w:cs="宋体"/>
                <w:color w:val="auto"/>
                <w:sz w:val="24"/>
                <w:szCs w:val="24"/>
                <w:highlight w:val="none"/>
                <w:shd w:val="clear" w:color="auto" w:fill="auto"/>
              </w:rPr>
              <w:t>年台账的</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得</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分；</w:t>
            </w:r>
          </w:p>
          <w:p>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有档案管理制度，表述</w:t>
            </w:r>
            <w:r>
              <w:rPr>
                <w:rFonts w:hint="eastAsia" w:ascii="宋体" w:hAnsi="宋体" w:eastAsia="宋体" w:cs="宋体"/>
                <w:color w:val="auto"/>
                <w:sz w:val="24"/>
                <w:szCs w:val="24"/>
                <w:highlight w:val="none"/>
                <w:shd w:val="clear" w:color="auto" w:fill="auto"/>
                <w:lang w:val="en-US" w:eastAsia="zh-CN"/>
              </w:rPr>
              <w:t>较为</w:t>
            </w:r>
            <w:r>
              <w:rPr>
                <w:rFonts w:hint="eastAsia" w:ascii="宋体" w:hAnsi="宋体" w:eastAsia="宋体" w:cs="宋体"/>
                <w:color w:val="auto"/>
                <w:sz w:val="24"/>
                <w:szCs w:val="24"/>
                <w:highlight w:val="none"/>
                <w:shd w:val="clear" w:color="auto" w:fill="auto"/>
              </w:rPr>
              <w:t>清晰，具备较强可操作性的</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得</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rPr>
              <w:t>分；</w:t>
            </w:r>
          </w:p>
          <w:p>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有档案管理制度，表述模糊，可操作性一般的</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得</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rPr>
              <w:t>分；</w:t>
            </w:r>
          </w:p>
          <w:p>
            <w:pPr>
              <w:spacing w:line="360" w:lineRule="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其余情况不得分</w:t>
            </w:r>
            <w:r>
              <w:rPr>
                <w:rFonts w:hint="eastAsia" w:ascii="宋体" w:hAnsi="宋体" w:eastAsia="宋体" w:cs="宋体"/>
                <w:color w:val="auto"/>
                <w:sz w:val="24"/>
                <w:szCs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ascii="宋体" w:hAnsi="宋体" w:eastAsia="宋体" w:cs="宋体"/>
                <w:color w:val="auto"/>
                <w:sz w:val="24"/>
                <w:szCs w:val="24"/>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应急处理方案</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636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根据各投标单位针对</w:t>
            </w:r>
            <w:r>
              <w:rPr>
                <w:rFonts w:hint="eastAsia" w:ascii="宋体" w:hAnsi="宋体" w:eastAsia="宋体" w:cs="宋体"/>
                <w:color w:val="auto"/>
                <w:sz w:val="24"/>
                <w:szCs w:val="24"/>
                <w:highlight w:val="none"/>
                <w:lang w:val="en-US" w:eastAsia="zh-CN"/>
              </w:rPr>
              <w:t>协审工作</w:t>
            </w:r>
            <w:r>
              <w:rPr>
                <w:rFonts w:hint="eastAsia" w:ascii="宋体" w:hAnsi="宋体" w:eastAsia="宋体" w:cs="宋体"/>
                <w:color w:val="auto"/>
                <w:sz w:val="24"/>
                <w:szCs w:val="24"/>
                <w:highlight w:val="none"/>
              </w:rPr>
              <w:t>的应急处理方案的优劣程度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sz w:val="24"/>
                <w:szCs w:val="24"/>
                <w:highlight w:val="none"/>
              </w:rPr>
              <w:t>项目协审人员驻场及现场响应时间、与参建各方面的沟通协调</w:t>
            </w:r>
            <w:r>
              <w:rPr>
                <w:rFonts w:hint="eastAsia" w:ascii="宋体" w:hAnsi="宋体" w:eastAsia="宋体" w:cs="宋体"/>
                <w:color w:val="auto"/>
                <w:sz w:val="24"/>
                <w:szCs w:val="24"/>
                <w:highlight w:val="none"/>
                <w:lang w:val="en-US" w:eastAsia="zh-CN"/>
              </w:rPr>
              <w:t>能力</w:t>
            </w:r>
            <w:r>
              <w:rPr>
                <w:rFonts w:hint="eastAsia" w:ascii="宋体" w:hAnsi="宋体" w:eastAsia="宋体" w:cs="宋体"/>
                <w:color w:val="auto"/>
                <w:sz w:val="24"/>
                <w:szCs w:val="24"/>
                <w:highlight w:val="none"/>
              </w:rPr>
              <w:t>及所在地开展协审工作的保障措施（包括人员、设备等）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进行评审：</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方案中内容清晰、合理、详细、全面、针对性强、可行性强的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得3</w:t>
            </w:r>
            <w:r>
              <w:rPr>
                <w:rFonts w:hint="eastAsia" w:ascii="宋体" w:hAnsi="宋体" w:eastAsia="宋体" w:cs="宋体"/>
                <w:color w:val="auto"/>
                <w:sz w:val="24"/>
                <w:szCs w:val="24"/>
                <w:highlight w:val="none"/>
              </w:rPr>
              <w:t>分；内容较清晰、较合理、较详细、较全面、针对性较强、可行性较强的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得2</w:t>
            </w:r>
            <w:r>
              <w:rPr>
                <w:rFonts w:hint="eastAsia" w:ascii="宋体" w:hAnsi="宋体" w:eastAsia="宋体" w:cs="宋体"/>
                <w:color w:val="auto"/>
                <w:sz w:val="24"/>
                <w:szCs w:val="24"/>
                <w:highlight w:val="none"/>
              </w:rPr>
              <w:t>分；内容基本全面、针对性一般、可行性一般的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得1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客观评审因素</w:t>
            </w:r>
          </w:p>
          <w:p>
            <w:pPr>
              <w:spacing w:line="360" w:lineRule="auto"/>
              <w:jc w:val="center"/>
              <w:rPr>
                <w:rFonts w:hint="eastAsia" w:ascii="宋体" w:hAnsi="宋体" w:eastAsia="宋体" w:cs="宋体"/>
                <w:color w:val="auto"/>
                <w:sz w:val="24"/>
                <w:szCs w:val="24"/>
                <w:highlight w:val="none"/>
              </w:rPr>
            </w:pPr>
          </w:p>
          <w:p>
            <w:pPr>
              <w:widowControl/>
              <w:spacing w:line="360" w:lineRule="auto"/>
              <w:jc w:val="left"/>
              <w:rPr>
                <w:rFonts w:hint="eastAsia" w:ascii="宋体" w:hAnsi="宋体" w:eastAsia="宋体" w:cs="宋体"/>
                <w:color w:val="auto"/>
                <w:sz w:val="24"/>
                <w:szCs w:val="24"/>
                <w:highlight w:val="none"/>
              </w:rPr>
            </w:pPr>
          </w:p>
          <w:p>
            <w:pPr>
              <w:widowControl/>
              <w:spacing w:line="360" w:lineRule="auto"/>
              <w:jc w:val="left"/>
              <w:rPr>
                <w:rFonts w:hint="eastAsia" w:ascii="宋体" w:hAnsi="宋体" w:eastAsia="宋体" w:cs="宋体"/>
                <w:color w:val="auto"/>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b/>
                <w:bCs/>
                <w:color w:val="auto"/>
                <w:sz w:val="24"/>
                <w:szCs w:val="24"/>
                <w:highlight w:val="none"/>
              </w:rPr>
            </w:pPr>
            <w:r>
              <w:rPr>
                <w:rFonts w:hint="eastAsia" w:ascii="宋体" w:hAnsi="宋体" w:cs="宋体"/>
                <w:color w:val="auto"/>
                <w:sz w:val="24"/>
                <w:szCs w:val="24"/>
                <w:highlight w:val="none"/>
              </w:rPr>
              <w:t>自2020年1月1日以来</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投标人承担过政府投资项目的清单编制或结算审核的，</w:t>
            </w:r>
            <w:r>
              <w:rPr>
                <w:rFonts w:hint="eastAsia" w:ascii="宋体" w:hAnsi="宋体" w:cs="宋体"/>
                <w:b/>
                <w:bCs/>
                <w:color w:val="auto"/>
                <w:sz w:val="24"/>
                <w:szCs w:val="24"/>
                <w:highlight w:val="none"/>
                <w:lang w:val="en-US" w:eastAsia="zh-CN"/>
              </w:rPr>
              <w:t>有一个得1分</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最多提供</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个</w:t>
            </w:r>
            <w:r>
              <w:rPr>
                <w:rFonts w:hint="eastAsia" w:ascii="宋体" w:hAnsi="宋体" w:cs="宋体"/>
                <w:b/>
                <w:bCs/>
                <w:color w:val="auto"/>
                <w:sz w:val="24"/>
                <w:szCs w:val="24"/>
                <w:highlight w:val="none"/>
                <w:lang w:eastAsia="zh-CN"/>
              </w:rPr>
              <w:t>。</w:t>
            </w:r>
            <w:r>
              <w:rPr>
                <w:rFonts w:hint="eastAsia"/>
                <w:b/>
                <w:bCs/>
                <w:color w:val="auto"/>
                <w:sz w:val="24"/>
                <w:szCs w:val="24"/>
                <w:highlight w:val="none"/>
                <w:lang w:val="en-US" w:eastAsia="zh-CN"/>
              </w:rPr>
              <w:t>本项</w:t>
            </w:r>
            <w:r>
              <w:rPr>
                <w:rFonts w:hint="eastAsia" w:ascii="宋体" w:hAnsi="宋体" w:cs="宋体"/>
                <w:b/>
                <w:bCs/>
                <w:color w:val="auto"/>
                <w:sz w:val="24"/>
                <w:szCs w:val="24"/>
                <w:highlight w:val="none"/>
              </w:rPr>
              <w:t>最多得</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rPr>
              <w:t>提供</w:t>
            </w:r>
            <w:r>
              <w:rPr>
                <w:rFonts w:hint="eastAsia" w:ascii="宋体" w:hAnsi="宋体" w:eastAsia="宋体" w:cs="宋体"/>
                <w:b/>
                <w:color w:val="auto"/>
                <w:sz w:val="24"/>
                <w:szCs w:val="24"/>
                <w:highlight w:val="none"/>
              </w:rPr>
              <w:t>由委托单位盖章确认的</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b/>
                <w:color w:val="auto"/>
                <w:sz w:val="24"/>
                <w:szCs w:val="24"/>
                <w:highlight w:val="none"/>
              </w:rPr>
              <w:t>原件扫描件</w:t>
            </w:r>
            <w:r>
              <w:rPr>
                <w:rFonts w:hint="eastAsia" w:ascii="宋体" w:hAnsi="宋体" w:eastAsia="宋体" w:cs="宋体"/>
                <w:b/>
                <w:bCs/>
                <w:color w:val="auto"/>
                <w:sz w:val="24"/>
                <w:szCs w:val="24"/>
                <w:highlight w:val="none"/>
                <w:lang w:val="en-US" w:eastAsia="zh-CN"/>
              </w:rPr>
              <w:t>和对应业绩的</w:t>
            </w:r>
            <w:r>
              <w:rPr>
                <w:rFonts w:hint="eastAsia" w:ascii="宋体" w:hAnsi="宋体" w:eastAsia="宋体" w:cs="宋体"/>
                <w:color w:val="auto"/>
                <w:sz w:val="24"/>
                <w:szCs w:val="24"/>
                <w:highlight w:val="none"/>
              </w:rPr>
              <w:t>审核成果</w:t>
            </w:r>
            <w:r>
              <w:rPr>
                <w:rFonts w:hint="eastAsia" w:ascii="宋体" w:hAnsi="宋体" w:eastAsia="宋体" w:cs="宋体"/>
                <w:color w:val="auto"/>
                <w:sz w:val="24"/>
                <w:szCs w:val="24"/>
                <w:highlight w:val="none"/>
                <w:lang w:val="en-US" w:eastAsia="zh-CN"/>
              </w:rPr>
              <w:t>的原件扫描件，</w:t>
            </w:r>
            <w:r>
              <w:rPr>
                <w:rFonts w:hint="eastAsia" w:ascii="宋体" w:hAnsi="宋体" w:eastAsia="宋体" w:cs="宋体"/>
                <w:b/>
                <w:bCs/>
                <w:color w:val="auto"/>
                <w:sz w:val="24"/>
                <w:szCs w:val="24"/>
                <w:highlight w:val="none"/>
              </w:rPr>
              <w:t>建设</w:t>
            </w:r>
            <w:r>
              <w:rPr>
                <w:rFonts w:hint="eastAsia" w:ascii="宋体" w:hAnsi="宋体" w:eastAsia="宋体" w:cs="宋体"/>
                <w:color w:val="auto"/>
                <w:sz w:val="24"/>
                <w:szCs w:val="24"/>
                <w:highlight w:val="none"/>
              </w:rPr>
              <w:t>项目的造价咨询服务时间以成果报告为准</w:t>
            </w:r>
            <w:r>
              <w:rPr>
                <w:rFonts w:hint="eastAsia"/>
                <w:color w:val="auto"/>
                <w:sz w:val="24"/>
                <w:szCs w:val="24"/>
                <w:highlight w:val="none"/>
                <w:lang w:eastAsia="zh-CN"/>
              </w:rPr>
              <w:t>，</w:t>
            </w:r>
            <w:r>
              <w:rPr>
                <w:rFonts w:hint="eastAsia"/>
                <w:color w:val="auto"/>
                <w:sz w:val="24"/>
                <w:szCs w:val="24"/>
                <w:highlight w:val="none"/>
                <w:lang w:val="en-US" w:eastAsia="zh-CN"/>
              </w:rPr>
              <w:t>不提供不得分</w:t>
            </w:r>
            <w:r>
              <w:rPr>
                <w:rFonts w:hint="eastAsia" w:ascii="宋体" w:hAnsi="宋体" w:eastAsia="宋体" w:cs="宋体"/>
                <w:color w:val="auto"/>
                <w:sz w:val="24"/>
                <w:szCs w:val="24"/>
                <w:highlight w:val="none"/>
              </w:rPr>
              <w:t>）</w:t>
            </w:r>
          </w:p>
          <w:p>
            <w:pPr>
              <w:pStyle w:val="49"/>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提供的同一份业绩不可重复得分。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25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审计服务实施时间</w:t>
            </w:r>
          </w:p>
        </w:tc>
        <w:tc>
          <w:tcPr>
            <w:tcW w:w="80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1.人员到位保证措施：</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承诺中标后接受项目</w:t>
            </w:r>
            <w:r>
              <w:rPr>
                <w:rFonts w:hint="eastAsia" w:ascii="宋体" w:hAnsi="宋体" w:eastAsia="宋体" w:cs="宋体"/>
                <w:color w:val="auto"/>
                <w:sz w:val="24"/>
                <w:szCs w:val="24"/>
                <w:highlight w:val="none"/>
                <w:lang w:eastAsia="zh-CN"/>
              </w:rPr>
              <w:t>征集人</w:t>
            </w:r>
            <w:r>
              <w:rPr>
                <w:rFonts w:hint="eastAsia" w:ascii="宋体" w:hAnsi="宋体" w:eastAsia="宋体" w:cs="宋体"/>
                <w:color w:val="auto"/>
                <w:sz w:val="24"/>
                <w:szCs w:val="24"/>
                <w:highlight w:val="none"/>
              </w:rPr>
              <w:t>在项目现场进行实名制考勤，如不按承诺时间到场，按相关考核办法扣分，得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2.跟踪审计：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主审保证每周驻场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天得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分，每周驻场</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天得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助审保证每周驻场</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天得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分，每周驻场</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天得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3.结算审计：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必须明确审计组在接收到结算资料以后，保证工作日（即星期一至星期五上午8:30至下午5:00）在审计局开展结算审计，得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分，每周驻审计局4个工作日，得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分，每周驻审计局3个工作日，得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荣誉及表彰</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6分</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自2020年1月1日以来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取得县级市</w:t>
            </w:r>
            <w:r>
              <w:rPr>
                <w:rFonts w:hint="eastAsia" w:ascii="宋体" w:hAnsi="宋体" w:eastAsia="宋体" w:cs="宋体"/>
                <w:color w:val="auto"/>
                <w:sz w:val="24"/>
                <w:szCs w:val="24"/>
                <w:highlight w:val="none"/>
                <w:lang w:val="en-US" w:eastAsia="zh-CN"/>
              </w:rPr>
              <w:t>及以上所属的</w:t>
            </w:r>
            <w:r>
              <w:rPr>
                <w:rFonts w:hint="eastAsia" w:ascii="宋体" w:hAnsi="宋体" w:eastAsia="宋体" w:cs="宋体"/>
                <w:color w:val="auto"/>
                <w:sz w:val="24"/>
                <w:szCs w:val="24"/>
                <w:highlight w:val="none"/>
              </w:rPr>
              <w:t>行政部门、造价管理部门或造价协会颁发工程造价类型的优秀单位、先进单位称号或通报表扬的，得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rPr>
              <w:t>。以上得分</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累加，最多得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pStyle w:val="12"/>
              <w:spacing w:after="0"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（投标文件中应提供相应获奖证书、荣誉证书及其他有效的证明文件的原件扫描件）。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vMerge w:val="continue"/>
            <w:tcBorders>
              <w:left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专业人员数量</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6分</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w:t>
            </w:r>
            <w:r>
              <w:rPr>
                <w:rFonts w:hint="eastAsia" w:ascii="宋体" w:hAnsi="宋体" w:eastAsia="宋体" w:cs="宋体"/>
                <w:color w:val="auto"/>
                <w:sz w:val="24"/>
                <w:szCs w:val="24"/>
                <w:highlight w:val="none"/>
                <w:lang w:val="en-US" w:eastAsia="zh-CN"/>
              </w:rPr>
              <w:t>入围</w:t>
            </w:r>
            <w:r>
              <w:rPr>
                <w:rFonts w:hint="eastAsia" w:ascii="宋体" w:hAnsi="宋体" w:eastAsia="宋体" w:cs="宋体"/>
                <w:color w:val="auto"/>
                <w:sz w:val="24"/>
                <w:szCs w:val="24"/>
                <w:highlight w:val="none"/>
              </w:rPr>
              <w:t>机构从事工程造价专业人员</w:t>
            </w:r>
            <w:r>
              <w:rPr>
                <w:rFonts w:hint="eastAsia" w:ascii="宋体" w:hAnsi="宋体" w:eastAsia="宋体" w:cs="宋体"/>
                <w:color w:val="auto"/>
                <w:sz w:val="24"/>
                <w:szCs w:val="24"/>
                <w:highlight w:val="none"/>
                <w:lang w:val="en-US" w:eastAsia="zh-CN"/>
              </w:rPr>
              <w:t>不少于6人，</w:t>
            </w:r>
            <w:r>
              <w:rPr>
                <w:rFonts w:hint="eastAsia" w:ascii="宋体" w:hAnsi="宋体" w:eastAsia="宋体" w:cs="宋体"/>
                <w:color w:val="auto"/>
                <w:sz w:val="24"/>
                <w:szCs w:val="24"/>
                <w:highlight w:val="none"/>
              </w:rPr>
              <w:t>达到标准后，每增加1人，得0.5分，最多得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pStyle w:val="2"/>
              <w:rPr>
                <w:rFonts w:hint="eastAsia"/>
                <w:color w:val="auto"/>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投标文件中应</w:t>
            </w:r>
            <w:r>
              <w:rPr>
                <w:rFonts w:hint="eastAsia" w:ascii="宋体" w:hAnsi="宋体" w:eastAsia="宋体" w:cs="宋体"/>
                <w:b/>
                <w:color w:val="auto"/>
                <w:sz w:val="24"/>
                <w:szCs w:val="24"/>
                <w:highlight w:val="none"/>
                <w:lang w:val="en-US" w:eastAsia="zh-CN"/>
              </w:rPr>
              <w:t>提供以上人员</w:t>
            </w:r>
            <w:r>
              <w:rPr>
                <w:rFonts w:hint="eastAsia" w:ascii="宋体" w:hAnsi="宋体" w:cs="宋体"/>
                <w:b/>
                <w:color w:val="auto"/>
                <w:sz w:val="24"/>
                <w:szCs w:val="24"/>
                <w:highlight w:val="none"/>
                <w:lang w:val="en-US" w:eastAsia="zh-CN"/>
              </w:rPr>
              <w:t>的</w:t>
            </w:r>
            <w:r>
              <w:rPr>
                <w:rFonts w:hint="eastAsia" w:ascii="宋体" w:hAnsi="宋体" w:eastAsia="宋体" w:cs="宋体"/>
                <w:b/>
                <w:color w:val="auto"/>
                <w:sz w:val="24"/>
                <w:szCs w:val="24"/>
                <w:highlight w:val="none"/>
                <w:lang w:val="en-US" w:eastAsia="zh-CN"/>
              </w:rPr>
              <w:t>注册造价工程师证书</w:t>
            </w:r>
            <w:r>
              <w:rPr>
                <w:rFonts w:hint="eastAsia" w:ascii="宋体" w:hAnsi="宋体" w:eastAsia="宋体" w:cs="宋体"/>
                <w:b/>
                <w:color w:val="auto"/>
                <w:sz w:val="24"/>
                <w:szCs w:val="24"/>
                <w:highlight w:val="none"/>
              </w:rPr>
              <w:t>的原件扫描件）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vMerge w:val="continue"/>
            <w:tcBorders>
              <w:left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专业人员职称</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8分</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w:t>
            </w:r>
            <w:r>
              <w:rPr>
                <w:rFonts w:hint="eastAsia" w:ascii="宋体" w:hAnsi="宋体" w:eastAsia="宋体" w:cs="宋体"/>
                <w:color w:val="auto"/>
                <w:sz w:val="24"/>
                <w:szCs w:val="24"/>
                <w:highlight w:val="none"/>
                <w:lang w:val="en-US" w:eastAsia="zh-CN"/>
              </w:rPr>
              <w:t>入围</w:t>
            </w:r>
            <w:r>
              <w:rPr>
                <w:rFonts w:hint="eastAsia" w:ascii="宋体" w:hAnsi="宋体" w:eastAsia="宋体" w:cs="宋体"/>
                <w:color w:val="auto"/>
                <w:sz w:val="24"/>
                <w:szCs w:val="24"/>
                <w:highlight w:val="none"/>
              </w:rPr>
              <w:t>人员具有工程或者工程经济类高级</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工程师</w:t>
            </w:r>
            <w:r>
              <w:rPr>
                <w:rFonts w:hint="eastAsia" w:ascii="宋体" w:hAnsi="宋体" w:eastAsia="宋体" w:cs="宋体"/>
                <w:color w:val="auto"/>
                <w:sz w:val="24"/>
                <w:szCs w:val="24"/>
                <w:highlight w:val="none"/>
                <w:lang w:val="en-US" w:eastAsia="zh-CN"/>
              </w:rPr>
              <w:t>职称</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拟</w:t>
            </w:r>
            <w:r>
              <w:rPr>
                <w:rFonts w:hint="eastAsia" w:ascii="宋体" w:hAnsi="宋体" w:eastAsia="宋体" w:cs="宋体"/>
                <w:color w:val="auto"/>
                <w:sz w:val="24"/>
                <w:szCs w:val="24"/>
                <w:highlight w:val="none"/>
                <w:lang w:val="en-US" w:eastAsia="zh-CN"/>
              </w:rPr>
              <w:t>入围</w:t>
            </w:r>
            <w:r>
              <w:rPr>
                <w:rFonts w:hint="eastAsia" w:ascii="宋体" w:hAnsi="宋体" w:eastAsia="宋体" w:cs="宋体"/>
                <w:color w:val="auto"/>
                <w:sz w:val="24"/>
                <w:szCs w:val="24"/>
                <w:highlight w:val="none"/>
              </w:rPr>
              <w:t>人员具有工程或者工程经济类中级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以上专业技术职称的，得0.5分/人。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w:t>
            </w:r>
            <w:r>
              <w:rPr>
                <w:rFonts w:hint="eastAsia" w:ascii="宋体" w:hAnsi="宋体" w:eastAsia="宋体" w:cs="宋体"/>
                <w:color w:val="auto"/>
                <w:sz w:val="24"/>
                <w:szCs w:val="24"/>
                <w:highlight w:val="none"/>
              </w:rPr>
              <w:t>最多得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分，同一人员仅取最高职称，不重复计取。</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投标文件中应</w:t>
            </w:r>
            <w:r>
              <w:rPr>
                <w:rFonts w:hint="eastAsia" w:ascii="宋体" w:hAnsi="宋体" w:eastAsia="宋体" w:cs="宋体"/>
                <w:b/>
                <w:color w:val="auto"/>
                <w:sz w:val="24"/>
                <w:szCs w:val="24"/>
                <w:highlight w:val="none"/>
                <w:lang w:val="en-US" w:eastAsia="zh-CN"/>
              </w:rPr>
              <w:t>提供以上人员相关职称证书</w:t>
            </w:r>
            <w:r>
              <w:rPr>
                <w:rFonts w:hint="eastAsia" w:ascii="宋体" w:hAnsi="宋体" w:eastAsia="宋体" w:cs="宋体"/>
                <w:b/>
                <w:color w:val="auto"/>
                <w:sz w:val="24"/>
                <w:szCs w:val="24"/>
                <w:highlight w:val="none"/>
              </w:rPr>
              <w:t>的原件扫描件</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vMerge w:val="continue"/>
            <w:tcBorders>
              <w:left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专业人员执业资格</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8分</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专业</w:t>
            </w:r>
            <w:r>
              <w:rPr>
                <w:rFonts w:hint="eastAsia" w:ascii="宋体" w:hAnsi="宋体" w:eastAsia="宋体" w:cs="宋体"/>
                <w:color w:val="auto"/>
                <w:sz w:val="24"/>
                <w:szCs w:val="24"/>
                <w:highlight w:val="none"/>
              </w:rPr>
              <w:t>人员为一级注册造价工程师（土建专业），每人得1分，本项最高为</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专业</w:t>
            </w:r>
            <w:r>
              <w:rPr>
                <w:rFonts w:hint="eastAsia" w:ascii="宋体" w:hAnsi="宋体" w:eastAsia="宋体" w:cs="宋体"/>
                <w:color w:val="auto"/>
                <w:sz w:val="24"/>
                <w:szCs w:val="24"/>
                <w:highlight w:val="none"/>
              </w:rPr>
              <w:t>人员为一级注册造价工程师（安装专业），每人得1分，本项最高为2分；</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专业</w:t>
            </w:r>
            <w:r>
              <w:rPr>
                <w:rFonts w:hint="eastAsia" w:ascii="宋体" w:hAnsi="宋体" w:eastAsia="宋体" w:cs="宋体"/>
                <w:color w:val="auto"/>
                <w:sz w:val="24"/>
                <w:szCs w:val="24"/>
                <w:highlight w:val="none"/>
              </w:rPr>
              <w:t>人员为一级注册造价工程师（交通专业），每人得1分,本项最高为1分</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专业</w:t>
            </w:r>
            <w:r>
              <w:rPr>
                <w:rFonts w:hint="eastAsia" w:ascii="宋体" w:hAnsi="宋体" w:eastAsia="宋体" w:cs="宋体"/>
                <w:color w:val="auto"/>
                <w:sz w:val="24"/>
                <w:szCs w:val="24"/>
                <w:highlight w:val="none"/>
              </w:rPr>
              <w:t>人员为一级注册造价工程师（水利专业），每人得1分,本项最高为1分</w:t>
            </w:r>
            <w:r>
              <w:rPr>
                <w:rFonts w:hint="eastAsia" w:ascii="宋体" w:hAnsi="宋体" w:eastAsia="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总分最多得8分</w:t>
            </w:r>
            <w:r>
              <w:rPr>
                <w:rFonts w:hint="eastAsia" w:ascii="宋体" w:hAnsi="宋体" w:eastAsia="宋体" w:cs="宋体"/>
                <w:color w:val="auto"/>
                <w:sz w:val="24"/>
                <w:szCs w:val="24"/>
                <w:highlight w:val="none"/>
              </w:rPr>
              <w:t>。同一人员仅取最高执业资格，不重复计取。</w:t>
            </w:r>
          </w:p>
          <w:p>
            <w:pPr>
              <w:pStyle w:val="2"/>
              <w:rPr>
                <w:rFonts w:hint="eastAsia"/>
                <w:color w:val="auto"/>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投标文件中应</w:t>
            </w:r>
            <w:r>
              <w:rPr>
                <w:rFonts w:hint="eastAsia" w:ascii="宋体" w:hAnsi="宋体" w:eastAsia="宋体" w:cs="宋体"/>
                <w:b/>
                <w:color w:val="auto"/>
                <w:sz w:val="24"/>
                <w:szCs w:val="24"/>
                <w:highlight w:val="none"/>
                <w:lang w:val="en-US" w:eastAsia="zh-CN"/>
              </w:rPr>
              <w:t>提供以上人员</w:t>
            </w:r>
            <w:r>
              <w:rPr>
                <w:rFonts w:hint="eastAsia" w:ascii="宋体" w:hAnsi="宋体" w:cs="宋体"/>
                <w:b/>
                <w:color w:val="auto"/>
                <w:sz w:val="24"/>
                <w:szCs w:val="24"/>
                <w:highlight w:val="none"/>
                <w:lang w:val="en-US" w:eastAsia="zh-CN"/>
              </w:rPr>
              <w:t>的注册造价工程师</w:t>
            </w:r>
            <w:r>
              <w:rPr>
                <w:rFonts w:hint="eastAsia" w:ascii="宋体" w:hAnsi="宋体" w:eastAsia="宋体" w:cs="宋体"/>
                <w:b/>
                <w:color w:val="auto"/>
                <w:sz w:val="24"/>
                <w:szCs w:val="24"/>
                <w:highlight w:val="none"/>
                <w:lang w:val="en-US" w:eastAsia="zh-CN"/>
              </w:rPr>
              <w:t>证书</w:t>
            </w:r>
            <w:r>
              <w:rPr>
                <w:rFonts w:hint="eastAsia" w:ascii="宋体" w:hAnsi="宋体" w:eastAsia="宋体" w:cs="宋体"/>
                <w:b/>
                <w:color w:val="auto"/>
                <w:sz w:val="24"/>
                <w:szCs w:val="24"/>
                <w:highlight w:val="none"/>
              </w:rPr>
              <w:t>的原件扫描件）。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vMerge w:val="continue"/>
            <w:tcBorders>
              <w:left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专业人员荣誉</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6分</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自2020年1月1日以来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专业人员</w:t>
            </w:r>
            <w:r>
              <w:rPr>
                <w:rFonts w:hint="eastAsia" w:ascii="宋体" w:hAnsi="宋体" w:eastAsia="宋体" w:cs="宋体"/>
                <w:b w:val="0"/>
                <w:bCs w:val="0"/>
                <w:color w:val="auto"/>
                <w:sz w:val="24"/>
                <w:szCs w:val="24"/>
                <w:highlight w:val="none"/>
                <w:u w:val="none"/>
                <w:lang w:val="en-US" w:eastAsia="zh-CN"/>
              </w:rPr>
              <w:t>参加各级工程造价相关竞赛并获奖的，得1分/人。</w:t>
            </w:r>
          </w:p>
          <w:p>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自2020年1月1日以来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专业人员</w:t>
            </w:r>
            <w:r>
              <w:rPr>
                <w:rFonts w:hint="eastAsia" w:ascii="宋体" w:hAnsi="宋体" w:eastAsia="宋体" w:cs="宋体"/>
                <w:b w:val="0"/>
                <w:bCs w:val="0"/>
                <w:color w:val="auto"/>
                <w:sz w:val="24"/>
                <w:szCs w:val="24"/>
                <w:highlight w:val="none"/>
                <w:u w:val="none"/>
                <w:lang w:val="en-US" w:eastAsia="zh-CN"/>
              </w:rPr>
              <w:t>获得各级主管部门、造价协会先进个人荣誉，得1分/人；</w:t>
            </w:r>
          </w:p>
          <w:p>
            <w:pPr>
              <w:pStyle w:val="12"/>
              <w:spacing w:after="0" w:line="360" w:lineRule="auto"/>
              <w:ind w:left="0" w:leftChars="0" w:right="0" w:righ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自2020年1月1日以来</w:t>
            </w:r>
            <w:r>
              <w:rPr>
                <w:rFonts w:hint="eastAsia" w:ascii="宋体" w:hAnsi="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u w:val="none"/>
                <w:lang w:val="en-US" w:eastAsia="zh-CN"/>
              </w:rPr>
              <w:t>专业人员参与修编造价定额、担任外聘教授授课等，得1分/人。</w:t>
            </w:r>
          </w:p>
          <w:p>
            <w:pPr>
              <w:numPr>
                <w:ilvl w:val="0"/>
                <w:numId w:val="0"/>
              </w:numPr>
              <w:snapToGrid w:val="0"/>
              <w:spacing w:line="360" w:lineRule="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上述内容中，专业人员获得荣誉或表彰时的所在单位需与本次投标单位一致（以相应文件出具时间和社保缴纳时间相符为准），否则不计分。以上项可累加得分，最多得6分。</w:t>
            </w:r>
          </w:p>
          <w:p>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（投标文件中</w:t>
            </w:r>
            <w:r>
              <w:rPr>
                <w:rFonts w:hint="eastAsia" w:ascii="宋体" w:hAnsi="宋体" w:eastAsia="宋体" w:cs="宋体"/>
                <w:b/>
                <w:color w:val="auto"/>
                <w:sz w:val="24"/>
                <w:szCs w:val="24"/>
                <w:highlight w:val="none"/>
                <w:lang w:val="en-US" w:eastAsia="zh-CN"/>
              </w:rPr>
              <w:t>应提供以上相关证书、荣誉、表彰等证明材料</w:t>
            </w:r>
            <w:r>
              <w:rPr>
                <w:rFonts w:hint="eastAsia" w:ascii="宋体" w:hAnsi="宋体" w:eastAsia="宋体" w:cs="宋体"/>
                <w:b/>
                <w:color w:val="auto"/>
                <w:sz w:val="24"/>
                <w:szCs w:val="24"/>
                <w:highlight w:val="none"/>
              </w:rPr>
              <w:t>的原件扫描件）</w:t>
            </w:r>
            <w:r>
              <w:rPr>
                <w:rFonts w:hint="eastAsia" w:ascii="宋体" w:hAnsi="宋体" w:eastAsia="宋体" w:cs="宋体"/>
                <w:b w:val="0"/>
                <w:bCs/>
                <w:color w:val="auto"/>
                <w:sz w:val="24"/>
                <w:szCs w:val="24"/>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2" w:type="dxa"/>
            <w:tcBorders>
              <w:left w:val="single" w:color="auto" w:sz="4" w:space="0"/>
              <w:right w:val="single" w:color="auto" w:sz="4" w:space="0"/>
            </w:tcBorders>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人员稳定性</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36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1.专业人员自2020年1月1日至2023年12月31日期间，在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缴纳社保</w:t>
            </w:r>
            <w:r>
              <w:rPr>
                <w:rFonts w:hint="eastAsia" w:ascii="宋体" w:hAnsi="宋体" w:eastAsia="宋体" w:cs="宋体"/>
                <w:color w:val="auto"/>
                <w:sz w:val="24"/>
                <w:szCs w:val="24"/>
                <w:highlight w:val="none"/>
                <w:lang w:val="en-US" w:eastAsia="zh-CN"/>
              </w:rPr>
              <w:t>交满48</w:t>
            </w:r>
            <w:r>
              <w:rPr>
                <w:rFonts w:hint="eastAsia" w:ascii="宋体" w:hAnsi="宋体" w:eastAsia="宋体" w:cs="宋体"/>
                <w:color w:val="auto"/>
                <w:sz w:val="24"/>
                <w:szCs w:val="24"/>
                <w:highlight w:val="none"/>
              </w:rPr>
              <w:t>个月的，得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专业人员自2020年1月1日至2023年12月31日期间，在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缴纳满</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个月的，得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以上最高得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分，同一位专业人员仅计取一次，</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提供社保管理部门盖章确认的社保清单。</w:t>
            </w:r>
          </w:p>
        </w:tc>
      </w:tr>
      <w:bookmarkEnd w:id="7"/>
    </w:tbl>
    <w:p>
      <w:pPr>
        <w:jc w:val="left"/>
        <w:rPr>
          <w:rFonts w:ascii="宋体" w:hAnsi="宋体"/>
          <w:b/>
          <w:bCs/>
          <w:color w:val="auto"/>
          <w:sz w:val="24"/>
          <w:szCs w:val="24"/>
          <w:highlight w:val="none"/>
        </w:rPr>
      </w:pPr>
    </w:p>
    <w:p>
      <w:pPr>
        <w:jc w:val="left"/>
        <w:rPr>
          <w:rFonts w:ascii="宋体" w:hAnsi="宋体"/>
          <w:b/>
          <w:bCs/>
          <w:color w:val="auto"/>
          <w:sz w:val="24"/>
          <w:szCs w:val="24"/>
          <w:highlight w:val="none"/>
        </w:rPr>
      </w:pPr>
      <w:r>
        <w:rPr>
          <w:rFonts w:hint="eastAsia" w:ascii="宋体" w:hAnsi="宋体"/>
          <w:b/>
          <w:bCs/>
          <w:color w:val="auto"/>
          <w:sz w:val="24"/>
          <w:szCs w:val="24"/>
          <w:highlight w:val="none"/>
        </w:rPr>
        <w:t>备注：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1、评分过程中如出现小数点后三位，采用四舍五入法，最终保留两位小数；</w:t>
      </w:r>
    </w:p>
    <w:p>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2、投标文件中必须提供以上相关证明材料复印件，若要求提供原件的，原件于投标时一并提交，否则不予加分。</w:t>
      </w:r>
    </w:p>
    <w:p>
      <w:pPr>
        <w:spacing w:line="360" w:lineRule="auto"/>
        <w:ind w:firstLine="482" w:firstLineChars="200"/>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rPr>
        <w:t>3、投标人将自评分表制作于投标文件中，同时可根据自身情况填好“投标文件对应页码”，以方便评审小组</w:t>
      </w:r>
      <w:r>
        <w:rPr>
          <w:rFonts w:hint="eastAsia" w:ascii="宋体" w:hAnsi="宋体"/>
          <w:b/>
          <w:bCs/>
          <w:color w:val="auto"/>
          <w:sz w:val="24"/>
          <w:szCs w:val="24"/>
          <w:highlight w:val="none"/>
          <w:lang w:val="en-US" w:eastAsia="zh-CN"/>
        </w:rPr>
        <w:t>评审。</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所有评审内容投标人做出的响应均视为承诺，相关人员、办公地点等信息将全面公开，接受监督。在订立框架协议期间和订立框架协议后发现提供的相关信息与实际不符或其它弄虚作假之处，一经发现，取消订立框架协议资格，并在3年内不接受重新订立框架协议的申请。</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所有注册证的注册单位必须为</w:t>
      </w:r>
      <w:r>
        <w:rPr>
          <w:rFonts w:hint="eastAsia" w:ascii="宋体" w:hAnsi="宋体"/>
          <w:color w:val="auto"/>
          <w:sz w:val="24"/>
          <w:szCs w:val="24"/>
          <w:highlight w:val="none"/>
          <w:lang w:eastAsia="zh-CN"/>
        </w:rPr>
        <w:t>投标</w:t>
      </w:r>
      <w:r>
        <w:rPr>
          <w:rFonts w:hint="eastAsia" w:ascii="宋体" w:hAnsi="宋体"/>
          <w:color w:val="auto"/>
          <w:sz w:val="24"/>
          <w:szCs w:val="24"/>
          <w:highlight w:val="none"/>
          <w:lang w:val="en-US" w:eastAsia="zh-CN"/>
        </w:rPr>
        <w:t>单位</w:t>
      </w:r>
      <w:r>
        <w:rPr>
          <w:rFonts w:hint="eastAsia" w:ascii="宋体" w:hAnsi="宋体"/>
          <w:color w:val="auto"/>
          <w:sz w:val="24"/>
          <w:szCs w:val="24"/>
          <w:highlight w:val="none"/>
        </w:rPr>
        <w:t>，否则不得分。</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主审、助审人员原则上不得在协审期间更换。若更换的，被更换人员两年内不得参与宜兴市审计局协审服务招投标活</w:t>
      </w:r>
      <w:r>
        <w:rPr>
          <w:rFonts w:hint="eastAsia" w:ascii="宋体" w:hAnsi="宋体"/>
          <w:color w:val="auto"/>
          <w:sz w:val="24"/>
          <w:szCs w:val="24"/>
          <w:highlight w:val="none"/>
          <w:u w:val="none"/>
        </w:rPr>
        <w:t>动</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参与投标活动的，项目按废标处理</w:t>
      </w:r>
      <w:r>
        <w:rPr>
          <w:rFonts w:hint="eastAsia" w:ascii="宋体" w:hAnsi="宋体"/>
          <w:color w:val="auto"/>
          <w:sz w:val="24"/>
          <w:szCs w:val="24"/>
          <w:highlight w:val="none"/>
          <w:u w:val="none"/>
        </w:rPr>
        <w:t>。</w:t>
      </w:r>
      <w:r>
        <w:rPr>
          <w:rFonts w:hint="eastAsia" w:ascii="宋体" w:hAnsi="宋体"/>
          <w:color w:val="auto"/>
          <w:sz w:val="24"/>
          <w:szCs w:val="24"/>
          <w:highlight w:val="none"/>
        </w:rPr>
        <w:t>除重大疾病、辞职、退休等情况之外，更换协审人员扣减该项目协审费用3%/次。</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本项目施行实名制管理，开展造价咨询人员实名制考勤，并按照《宜兴市政府建设项目协审工作考核办法》进行考核，人员到位考核扣分达到30分，取消该投标人的承接资格，由下一名具备承接资格的候选投标人依次替补。</w:t>
      </w:r>
    </w:p>
    <w:p>
      <w:pPr>
        <w:pStyle w:val="2"/>
        <w:rPr>
          <w:rFonts w:hint="eastAsia" w:ascii="宋体" w:hAnsi="宋体"/>
          <w:b/>
          <w:bCs/>
          <w:color w:val="auto"/>
          <w:sz w:val="24"/>
          <w:szCs w:val="24"/>
          <w:highlight w:val="none"/>
          <w:lang w:val="en-US" w:eastAsia="zh-CN"/>
        </w:rPr>
      </w:pPr>
    </w:p>
    <w:p>
      <w:pPr>
        <w:keepNext w:val="0"/>
        <w:keepLines w:val="0"/>
        <w:pageBreakBefore/>
        <w:widowControl w:val="0"/>
        <w:kinsoku/>
        <w:wordWrap/>
        <w:overflowPunct/>
        <w:topLinePunct w:val="0"/>
        <w:autoSpaceDE/>
        <w:autoSpaceDN/>
        <w:bidi w:val="0"/>
        <w:adjustRightInd/>
        <w:snapToGrid/>
        <w:spacing w:line="360" w:lineRule="auto"/>
        <w:ind w:firstLine="560" w:firstLineChars="200"/>
        <w:jc w:val="center"/>
        <w:textAlignment w:val="auto"/>
        <w:outlineLvl w:val="0"/>
        <w:rPr>
          <w:rFonts w:hint="eastAsia" w:ascii="黑体" w:hAnsi="黑体" w:eastAsia="黑体"/>
          <w:color w:val="auto"/>
          <w:sz w:val="28"/>
          <w:highlight w:val="none"/>
        </w:rPr>
      </w:pPr>
      <w:r>
        <w:rPr>
          <w:rFonts w:hint="eastAsia" w:ascii="黑体" w:hAnsi="黑体" w:eastAsia="黑体"/>
          <w:color w:val="auto"/>
          <w:sz w:val="28"/>
          <w:highlight w:val="none"/>
          <w:lang w:eastAsia="zh-CN"/>
        </w:rPr>
        <w:t>封闭式框架协议</w:t>
      </w:r>
      <w:r>
        <w:rPr>
          <w:rFonts w:hint="eastAsia" w:ascii="黑体" w:hAnsi="黑体" w:eastAsia="黑体"/>
          <w:color w:val="auto"/>
          <w:sz w:val="28"/>
          <w:highlight w:val="none"/>
        </w:rPr>
        <w:t>（格式）</w:t>
      </w:r>
    </w:p>
    <w:p>
      <w:pPr>
        <w:pStyle w:val="50"/>
        <w:ind w:firstLine="0"/>
        <w:jc w:val="right"/>
        <w:rPr>
          <w:rFonts w:hint="eastAsia" w:hAnsi="宋体" w:cs="宋体"/>
          <w:b/>
          <w:color w:val="auto"/>
          <w:sz w:val="28"/>
          <w:szCs w:val="28"/>
          <w:highlight w:val="none"/>
          <w:lang w:val="zh-CN"/>
        </w:rPr>
      </w:pPr>
    </w:p>
    <w:p>
      <w:pPr>
        <w:pStyle w:val="50"/>
        <w:ind w:firstLine="0"/>
        <w:jc w:val="right"/>
        <w:rPr>
          <w:rFonts w:hint="eastAsia" w:hAnsi="宋体" w:cs="宋体"/>
          <w:b/>
          <w:color w:val="auto"/>
          <w:sz w:val="28"/>
          <w:szCs w:val="28"/>
          <w:highlight w:val="none"/>
          <w:lang w:val="zh-CN"/>
        </w:rPr>
      </w:pPr>
    </w:p>
    <w:p>
      <w:pPr>
        <w:pStyle w:val="50"/>
        <w:ind w:firstLine="0"/>
        <w:jc w:val="right"/>
        <w:rPr>
          <w:rFonts w:hint="eastAsia" w:hAnsi="宋体" w:cs="宋体"/>
          <w:color w:val="auto"/>
          <w:szCs w:val="24"/>
          <w:highlight w:val="none"/>
        </w:rPr>
      </w:pPr>
    </w:p>
    <w:p>
      <w:pPr>
        <w:pStyle w:val="50"/>
        <w:ind w:firstLine="0"/>
        <w:rPr>
          <w:rFonts w:hint="eastAsia" w:hAnsi="宋体" w:cs="宋体"/>
          <w:color w:val="auto"/>
          <w:szCs w:val="24"/>
          <w:highlight w:val="none"/>
        </w:rPr>
      </w:pPr>
    </w:p>
    <w:p>
      <w:pPr>
        <w:pStyle w:val="50"/>
        <w:ind w:firstLine="0"/>
        <w:rPr>
          <w:rFonts w:hint="eastAsia" w:hAnsi="宋体" w:cs="宋体"/>
          <w:color w:val="auto"/>
          <w:szCs w:val="24"/>
          <w:highlight w:val="none"/>
        </w:rPr>
      </w:pPr>
    </w:p>
    <w:p>
      <w:pPr>
        <w:pStyle w:val="50"/>
        <w:ind w:firstLine="0"/>
        <w:jc w:val="center"/>
        <w:rPr>
          <w:rFonts w:hAnsi="宋体" w:cs="宋体"/>
          <w:b/>
          <w:color w:val="auto"/>
          <w:szCs w:val="24"/>
          <w:highlight w:val="none"/>
        </w:rPr>
      </w:pPr>
      <w:r>
        <w:rPr>
          <w:rFonts w:hint="eastAsia" w:hAnsi="宋体" w:cs="宋体"/>
          <w:b/>
          <w:color w:val="auto"/>
          <w:szCs w:val="24"/>
          <w:highlight w:val="none"/>
        </w:rPr>
        <w:t>第一部分 合同书</w:t>
      </w:r>
    </w:p>
    <w:p>
      <w:pPr>
        <w:pStyle w:val="50"/>
        <w:ind w:firstLine="0"/>
        <w:rPr>
          <w:rFonts w:hAnsi="宋体" w:cs="宋体"/>
          <w:color w:val="auto"/>
          <w:szCs w:val="24"/>
          <w:highlight w:val="none"/>
        </w:rPr>
      </w:pPr>
    </w:p>
    <w:p>
      <w:pPr>
        <w:pStyle w:val="50"/>
        <w:ind w:firstLine="0"/>
        <w:rPr>
          <w:rFonts w:hAnsi="宋体" w:cs="宋体"/>
          <w:color w:val="auto"/>
          <w:szCs w:val="24"/>
          <w:highlight w:val="none"/>
        </w:rPr>
      </w:pPr>
    </w:p>
    <w:p>
      <w:pPr>
        <w:spacing w:line="22" w:lineRule="atLeast"/>
        <w:rPr>
          <w:rFonts w:ascii="宋体" w:hAnsi="宋体" w:cs="宋体"/>
          <w:color w:val="auto"/>
          <w:sz w:val="24"/>
          <w:highlight w:val="none"/>
        </w:rPr>
      </w:pPr>
    </w:p>
    <w:p>
      <w:pPr>
        <w:spacing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pPr>
        <w:pStyle w:val="51"/>
        <w:spacing w:line="22" w:lineRule="atLeast"/>
        <w:rPr>
          <w:rFonts w:ascii="宋体" w:hAnsi="宋体" w:eastAsia="宋体" w:cs="宋体"/>
          <w:color w:val="auto"/>
          <w:szCs w:val="24"/>
          <w:highlight w:val="none"/>
        </w:rPr>
      </w:pPr>
    </w:p>
    <w:p>
      <w:pPr>
        <w:pStyle w:val="51"/>
        <w:spacing w:line="22" w:lineRule="atLeast"/>
        <w:rPr>
          <w:rFonts w:ascii="宋体" w:hAnsi="宋体" w:eastAsia="宋体" w:cs="宋体"/>
          <w:bCs/>
          <w:color w:val="auto"/>
          <w:highlight w:val="none"/>
          <w:u w:val="single"/>
        </w:rPr>
      </w:pPr>
      <w:r>
        <w:rPr>
          <w:rFonts w:hint="eastAsia" w:ascii="宋体" w:hAnsi="宋体" w:eastAsia="宋体" w:cs="宋体"/>
          <w:bCs/>
          <w:color w:val="auto"/>
          <w:highlight w:val="none"/>
        </w:rPr>
        <w:t xml:space="preserve">        项目编号：</w:t>
      </w:r>
      <w:r>
        <w:rPr>
          <w:rFonts w:hint="eastAsia" w:ascii="宋体" w:hAnsi="宋体" w:eastAsia="宋体" w:cs="宋体"/>
          <w:bCs/>
          <w:color w:val="auto"/>
          <w:highlight w:val="none"/>
          <w:u w:val="single"/>
        </w:rPr>
        <w:t xml:space="preserve"> </w:t>
      </w:r>
      <w:r>
        <w:rPr>
          <w:rFonts w:ascii="宋体" w:hAnsi="宋体" w:eastAsia="宋体" w:cs="宋体"/>
          <w:bCs/>
          <w:color w:val="auto"/>
          <w:highlight w:val="none"/>
          <w:u w:val="single"/>
        </w:rPr>
        <w:t xml:space="preserve">  </w:t>
      </w:r>
      <w:r>
        <w:rPr>
          <w:rFonts w:hint="eastAsia" w:ascii="宋体" w:hAnsi="宋体" w:eastAsia="宋体" w:cs="宋体"/>
          <w:bCs/>
          <w:color w:val="auto"/>
          <w:highlight w:val="none"/>
          <w:u w:val="single"/>
        </w:rPr>
        <w:t xml:space="preserve">                             </w:t>
      </w:r>
      <w:r>
        <w:rPr>
          <w:rFonts w:ascii="宋体" w:hAnsi="宋体" w:eastAsia="宋体" w:cs="宋体"/>
          <w:bCs/>
          <w:color w:val="auto"/>
          <w:highlight w:val="none"/>
          <w:u w:val="single"/>
        </w:rPr>
        <w:t xml:space="preserve">    </w:t>
      </w:r>
    </w:p>
    <w:p>
      <w:pPr>
        <w:rPr>
          <w:color w:val="auto"/>
          <w:highlight w:val="none"/>
        </w:rPr>
      </w:pPr>
    </w:p>
    <w:p>
      <w:pPr>
        <w:spacing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pPr>
        <w:spacing w:line="22" w:lineRule="atLeast"/>
        <w:rPr>
          <w:rFonts w:ascii="宋体" w:hAnsi="宋体" w:cs="宋体"/>
          <w:color w:val="auto"/>
          <w:sz w:val="24"/>
          <w:highlight w:val="none"/>
        </w:rPr>
      </w:pPr>
    </w:p>
    <w:p>
      <w:pPr>
        <w:spacing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pPr>
        <w:spacing w:line="22" w:lineRule="atLeast"/>
        <w:rPr>
          <w:rFonts w:ascii="宋体" w:hAnsi="宋体" w:cs="宋体"/>
          <w:color w:val="auto"/>
          <w:sz w:val="24"/>
          <w:highlight w:val="none"/>
        </w:rPr>
      </w:pPr>
    </w:p>
    <w:p>
      <w:pPr>
        <w:spacing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pPr>
        <w:spacing w:line="22" w:lineRule="atLeast"/>
        <w:rPr>
          <w:rFonts w:ascii="宋体" w:hAnsi="宋体" w:cs="宋体"/>
          <w:color w:val="auto"/>
          <w:sz w:val="24"/>
          <w:highlight w:val="none"/>
        </w:rPr>
      </w:pP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color w:val="auto"/>
          <w:sz w:val="24"/>
          <w:highlight w:val="none"/>
        </w:rPr>
      </w:pPr>
    </w:p>
    <w:p>
      <w:pPr>
        <w:spacing w:line="560" w:lineRule="exact"/>
        <w:ind w:firstLine="480" w:firstLineChars="200"/>
        <w:rPr>
          <w:rFonts w:ascii="宋体" w:hAnsi="宋体" w:cs="宋体"/>
          <w:color w:val="auto"/>
          <w:sz w:val="24"/>
          <w:highlight w:val="none"/>
        </w:rPr>
      </w:pPr>
    </w:p>
    <w:p>
      <w:pPr>
        <w:pStyle w:val="2"/>
        <w:rPr>
          <w:color w:val="auto"/>
          <w:highlight w:val="none"/>
        </w:rPr>
      </w:pPr>
    </w:p>
    <w:p>
      <w:pPr>
        <w:spacing w:line="560" w:lineRule="exact"/>
        <w:rPr>
          <w:rFonts w:ascii="宋体" w:hAnsi="宋体" w:cs="宋体"/>
          <w:color w:val="auto"/>
          <w:sz w:val="24"/>
          <w:highlight w:val="none"/>
        </w:rPr>
      </w:pPr>
    </w:p>
    <w:p>
      <w:pPr>
        <w:spacing w:line="560" w:lineRule="exact"/>
        <w:ind w:firstLine="480" w:firstLineChars="200"/>
        <w:rPr>
          <w:rFonts w:hint="eastAsia" w:ascii="宋体" w:hAnsi="宋体" w:cs="宋体"/>
          <w:color w:val="auto"/>
          <w:sz w:val="24"/>
          <w:szCs w:val="24"/>
          <w:highlight w:val="none"/>
        </w:rPr>
      </w:pPr>
      <w:bookmarkStart w:id="8" w:name="_Toc22967"/>
      <w:bookmarkStart w:id="9" w:name="_Toc20421"/>
      <w:bookmarkStart w:id="10" w:name="_Toc15367"/>
      <w:bookmarkStart w:id="11" w:name="_Toc28855"/>
      <w:bookmarkStart w:id="12" w:name="_Toc19273"/>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宜兴市审计局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lang w:val="en-US" w:eastAsia="zh-CN"/>
        </w:rPr>
        <w:t>封闭式框架协议</w:t>
      </w:r>
      <w:r>
        <w:rPr>
          <w:rFonts w:hint="eastAsia" w:ascii="宋体" w:hAnsi="宋体" w:cs="宋体"/>
          <w:color w:val="auto"/>
          <w:sz w:val="24"/>
          <w:highlight w:val="none"/>
          <w:u w:val="single"/>
        </w:rPr>
        <w:t xml:space="preserve">的采购方式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宜兴市审计局</w:t>
      </w:r>
      <w:r>
        <w:rPr>
          <w:rFonts w:hint="eastAsia" w:ascii="宋体" w:hAnsi="宋体" w:cs="宋体"/>
          <w:color w:val="auto"/>
          <w:sz w:val="24"/>
          <w:highlight w:val="none"/>
          <w:u w:val="single"/>
          <w:lang w:eastAsia="zh-CN"/>
        </w:rPr>
        <w:t>政府建设项目审计中介服务机构框架协议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lang w:eastAsia="zh-CN"/>
        </w:rPr>
        <w:t>征集小组</w:t>
      </w:r>
      <w:r>
        <w:rPr>
          <w:rFonts w:hint="eastAsia" w:ascii="宋体" w:hAnsi="宋体" w:cs="宋体"/>
          <w:color w:val="auto"/>
          <w:sz w:val="24"/>
          <w:highlight w:val="none"/>
        </w:rPr>
        <w:t>评审，</w:t>
      </w:r>
      <w:r>
        <w:rPr>
          <w:rFonts w:hint="eastAsia" w:ascii="宋体" w:hAnsi="宋体" w:cs="宋体"/>
          <w:color w:val="auto"/>
          <w:sz w:val="24"/>
          <w:highlight w:val="none"/>
          <w:u w:val="single"/>
          <w:lang w:eastAsia="zh-CN"/>
        </w:rPr>
        <w:t>宜兴市审计局</w:t>
      </w:r>
      <w:r>
        <w:rPr>
          <w:rFonts w:hint="eastAsia" w:ascii="宋体" w:hAnsi="宋体" w:cs="宋体"/>
          <w:color w:val="auto"/>
          <w:sz w:val="24"/>
          <w:highlight w:val="none"/>
        </w:rPr>
        <w:t xml:space="preserve">确定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入围</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为该项目</w:t>
      </w:r>
      <w:r>
        <w:rPr>
          <w:rFonts w:hint="eastAsia" w:ascii="宋体" w:hAnsi="宋体" w:cs="宋体"/>
          <w:color w:val="auto"/>
          <w:sz w:val="24"/>
          <w:highlight w:val="none"/>
          <w:lang w:eastAsia="zh-CN"/>
        </w:rPr>
        <w:t>入围</w:t>
      </w:r>
      <w:r>
        <w:rPr>
          <w:rFonts w:hint="eastAsia" w:ascii="宋体" w:hAnsi="宋体" w:cs="宋体"/>
          <w:color w:val="auto"/>
          <w:sz w:val="24"/>
          <w:highlight w:val="none"/>
        </w:rPr>
        <w:t>供应商。现于</w:t>
      </w:r>
      <w:r>
        <w:rPr>
          <w:rFonts w:hint="eastAsia" w:ascii="宋体" w:hAnsi="宋体" w:cs="宋体"/>
          <w:color w:val="auto"/>
          <w:sz w:val="24"/>
          <w:highlight w:val="none"/>
          <w:lang w:eastAsia="zh-CN"/>
        </w:rPr>
        <w:t>入围</w:t>
      </w:r>
      <w:r>
        <w:rPr>
          <w:rFonts w:hint="eastAsia" w:ascii="宋体" w:hAnsi="宋体" w:cs="宋体"/>
          <w:color w:val="auto"/>
          <w:sz w:val="24"/>
          <w:highlight w:val="none"/>
        </w:rPr>
        <w:t>通知书发出之日起三十日内，按照采购文件确定的事项签订本合同。</w:t>
      </w:r>
    </w:p>
    <w:p>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宜兴市审计局</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入围</w:t>
      </w:r>
      <w:r>
        <w:rPr>
          <w:rFonts w:hint="eastAsia" w:ascii="宋体" w:hAnsi="宋体" w:cs="宋体"/>
          <w:color w:val="auto"/>
          <w:sz w:val="24"/>
          <w:highlight w:val="none"/>
          <w:u w:val="single"/>
        </w:rPr>
        <w:t>供应商名称）</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pPr>
        <w:spacing w:line="56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1.1 合同组成部分</w:t>
      </w:r>
      <w:bookmarkEnd w:id="8"/>
      <w:bookmarkEnd w:id="9"/>
      <w:bookmarkEnd w:id="10"/>
      <w:bookmarkEnd w:id="11"/>
      <w:bookmarkEnd w:id="12"/>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 本合同及其补充合同、变更协议；</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 中标通知书；</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1.1.3 投标文件（含澄清或者说明文件）；</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1.1.4 招标文件（含澄清或者修改文件）；</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1.1.5 其他相关采购文件。</w:t>
      </w:r>
    </w:p>
    <w:p>
      <w:pPr>
        <w:spacing w:line="560" w:lineRule="exact"/>
        <w:ind w:firstLine="482" w:firstLineChars="200"/>
        <w:rPr>
          <w:rFonts w:ascii="宋体" w:hAnsi="宋体" w:cs="宋体"/>
          <w:b/>
          <w:color w:val="auto"/>
          <w:sz w:val="24"/>
          <w:szCs w:val="24"/>
          <w:highlight w:val="none"/>
        </w:rPr>
      </w:pPr>
      <w:bookmarkStart w:id="13" w:name="_Toc18585"/>
      <w:bookmarkStart w:id="14" w:name="_Toc6311"/>
      <w:bookmarkStart w:id="15" w:name="_Toc22185"/>
      <w:bookmarkStart w:id="16" w:name="_Toc6773"/>
      <w:bookmarkStart w:id="17" w:name="_Toc2918"/>
      <w:r>
        <w:rPr>
          <w:rFonts w:hint="eastAsia" w:ascii="宋体" w:hAnsi="宋体" w:cs="宋体"/>
          <w:b/>
          <w:color w:val="auto"/>
          <w:sz w:val="24"/>
          <w:szCs w:val="24"/>
          <w:highlight w:val="none"/>
        </w:rPr>
        <w:t>1.2 标的</w:t>
      </w:r>
      <w:bookmarkEnd w:id="13"/>
      <w:bookmarkEnd w:id="14"/>
      <w:bookmarkEnd w:id="15"/>
      <w:bookmarkEnd w:id="16"/>
      <w:bookmarkEnd w:id="17"/>
    </w:p>
    <w:p>
      <w:pPr>
        <w:spacing w:line="5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1.2.1 标的名称：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5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1.2.2 标的数量：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5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1.2.3 标的质量：</w:t>
      </w:r>
      <w:r>
        <w:rPr>
          <w:rFonts w:hint="eastAsia" w:ascii="宋体" w:hAnsi="宋体" w:cs="宋体"/>
          <w:color w:val="auto"/>
          <w:sz w:val="24"/>
          <w:szCs w:val="24"/>
          <w:highlight w:val="none"/>
          <w:u w:val="single"/>
        </w:rPr>
        <w:t>根据《宜兴市政府建设项目协审工作考核办法》（详见宜审发[2019]24号文件）进行考核（如出台新考核办法，按新办法执行）。</w:t>
      </w:r>
    </w:p>
    <w:p>
      <w:pPr>
        <w:spacing w:line="560" w:lineRule="exact"/>
        <w:ind w:firstLine="482" w:firstLineChars="200"/>
        <w:rPr>
          <w:rFonts w:ascii="宋体" w:hAnsi="宋体" w:cs="宋体"/>
          <w:b/>
          <w:color w:val="auto"/>
          <w:sz w:val="24"/>
          <w:szCs w:val="24"/>
          <w:highlight w:val="none"/>
        </w:rPr>
      </w:pPr>
      <w:bookmarkStart w:id="18" w:name="_Toc13918"/>
      <w:bookmarkStart w:id="19" w:name="_Toc1386"/>
      <w:bookmarkStart w:id="20" w:name="_Toc5635"/>
      <w:bookmarkStart w:id="21" w:name="_Toc21124"/>
      <w:bookmarkStart w:id="22" w:name="_Toc4929"/>
      <w:r>
        <w:rPr>
          <w:rFonts w:hint="eastAsia" w:ascii="宋体" w:hAnsi="宋体" w:cs="宋体"/>
          <w:b/>
          <w:color w:val="auto"/>
          <w:sz w:val="24"/>
          <w:szCs w:val="24"/>
          <w:highlight w:val="none"/>
        </w:rPr>
        <w:t>1.3 价款</w:t>
      </w:r>
      <w:bookmarkEnd w:id="18"/>
      <w:bookmarkEnd w:id="19"/>
      <w:bookmarkEnd w:id="20"/>
      <w:bookmarkEnd w:id="21"/>
      <w:bookmarkEnd w:id="22"/>
    </w:p>
    <w:p>
      <w:pPr>
        <w:spacing w:line="560" w:lineRule="exact"/>
        <w:ind w:firstLine="480" w:firstLineChars="200"/>
        <w:rPr>
          <w:rFonts w:ascii="宋体" w:hAnsi="宋体" w:cs="宋体"/>
          <w:color w:val="auto"/>
          <w:sz w:val="24"/>
          <w:szCs w:val="24"/>
          <w:highlight w:val="none"/>
        </w:rPr>
      </w:pPr>
      <w:bookmarkStart w:id="23" w:name="_Toc14993"/>
      <w:bookmarkStart w:id="24" w:name="_Toc30158"/>
      <w:bookmarkStart w:id="25" w:name="_Toc30506"/>
      <w:bookmarkStart w:id="26" w:name="_Toc26916"/>
      <w:bookmarkStart w:id="27" w:name="_Toc3654"/>
      <w:r>
        <w:rPr>
          <w:rFonts w:hint="eastAsia" w:ascii="宋体" w:hAnsi="宋体" w:cs="宋体"/>
          <w:color w:val="auto"/>
          <w:sz w:val="24"/>
          <w:szCs w:val="24"/>
          <w:highlight w:val="none"/>
        </w:rPr>
        <w:t>本合同总价为：￥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元人民币）。</w:t>
      </w:r>
    </w:p>
    <w:p>
      <w:pPr>
        <w:spacing w:line="56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1.4 付款方式和发票开具方式</w:t>
      </w:r>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cs="宋体"/>
          <w:color w:val="auto"/>
          <w:sz w:val="24"/>
          <w:szCs w:val="24"/>
          <w:highlight w:val="none"/>
        </w:rPr>
        <w:t>1.4.1付款方式：</w:t>
      </w:r>
      <w:r>
        <w:rPr>
          <w:rFonts w:hint="default" w:ascii="宋体" w:hAnsi="宋体" w:eastAsia="宋体" w:cs="Times New Roman"/>
          <w:color w:val="auto"/>
          <w:sz w:val="24"/>
          <w:szCs w:val="24"/>
          <w:highlight w:val="none"/>
          <w:lang w:val="en-US" w:eastAsia="zh-CN"/>
        </w:rPr>
        <w:t>（1）跟踪、结算项目协审费用原则上按照《关于市政府建设项目委托中介机构参审审计费用结算问题的协调会议纪要》（详见宜纪〔2009〕23号文件）的70%计取。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（2）复核项目协审费用原则上按照《关于市政府建设项目委托中介机构参审审计费用结算问题的协调会议纪要》（详见宜纪〔2009〕23号文件）的90%计取。接受宜兴市审计局考核，最终结算费用与考核结果挂钩。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（3）复审项目协审费用按照市政府投资建设项目抽复审工作相关规定计取。接受宜兴市审计局考核，最终结算费用与考核结果挂钩。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u w:val="single"/>
        </w:rPr>
      </w:pPr>
      <w:r>
        <w:rPr>
          <w:rFonts w:hint="default" w:ascii="宋体" w:hAnsi="宋体" w:eastAsia="宋体" w:cs="Times New Roman"/>
          <w:color w:val="auto"/>
          <w:sz w:val="24"/>
          <w:szCs w:val="24"/>
          <w:highlight w:val="none"/>
          <w:lang w:val="en-US" w:eastAsia="zh-CN"/>
        </w:rPr>
        <w:t>（4）以工作日为单位计算报酬的计日工，按照以下标准计算聘请费用：注册造价工程师1800元/人·天（含税）；一般工程协审人员900元/人·天（含税）。接受宜兴市审计局考核，最终结算费用与考核结果挂钩。</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1.4.2 发票开具方式：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开具增值税发票     </w:t>
      </w:r>
      <w:r>
        <w:rPr>
          <w:rFonts w:hint="eastAsia" w:ascii="宋体" w:hAnsi="宋体" w:cs="宋体"/>
          <w:color w:val="auto"/>
          <w:sz w:val="24"/>
          <w:szCs w:val="24"/>
          <w:highlight w:val="none"/>
        </w:rPr>
        <w:t>。</w:t>
      </w:r>
    </w:p>
    <w:p>
      <w:pPr>
        <w:spacing w:line="560" w:lineRule="exact"/>
        <w:ind w:firstLine="482" w:firstLineChars="200"/>
        <w:rPr>
          <w:rFonts w:ascii="宋体" w:hAnsi="宋体" w:cs="宋体"/>
          <w:b/>
          <w:color w:val="auto"/>
          <w:sz w:val="24"/>
          <w:szCs w:val="24"/>
          <w:highlight w:val="none"/>
        </w:rPr>
      </w:pPr>
      <w:bookmarkStart w:id="28" w:name="_Toc11108"/>
      <w:bookmarkStart w:id="29" w:name="_Toc4760"/>
      <w:bookmarkStart w:id="30" w:name="_Toc31421"/>
      <w:bookmarkStart w:id="31" w:name="_Toc3625"/>
      <w:bookmarkStart w:id="32" w:name="_Toc8772"/>
      <w:r>
        <w:rPr>
          <w:rFonts w:hint="eastAsia" w:ascii="宋体" w:hAnsi="宋体" w:cs="宋体"/>
          <w:b/>
          <w:color w:val="auto"/>
          <w:sz w:val="24"/>
          <w:szCs w:val="24"/>
          <w:highlight w:val="none"/>
        </w:rPr>
        <w:t>1.5 履行期限、地点和方式</w:t>
      </w:r>
      <w:bookmarkEnd w:id="28"/>
      <w:bookmarkEnd w:id="29"/>
      <w:bookmarkEnd w:id="30"/>
      <w:bookmarkEnd w:id="31"/>
      <w:bookmarkEnd w:id="32"/>
    </w:p>
    <w:p>
      <w:pPr>
        <w:spacing w:line="56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1.5.1 履行期限：</w:t>
      </w:r>
      <w:r>
        <w:rPr>
          <w:rFonts w:hint="eastAsia" w:ascii="宋体" w:hAnsi="宋体" w:cs="宋体"/>
          <w:color w:val="auto"/>
          <w:sz w:val="24"/>
          <w:szCs w:val="24"/>
          <w:highlight w:val="none"/>
          <w:u w:val="single"/>
        </w:rPr>
        <w:t xml:space="preserve"> 自合同签订之日起至项目审计结束期内有效，若项目接受宜兴市监察委员会抽复审，则该合同至抽复审结束期内有效。</w:t>
      </w:r>
      <w:r>
        <w:rPr>
          <w:rFonts w:hint="eastAsia" w:ascii="宋体" w:hAnsi="宋体" w:cs="宋体"/>
          <w:color w:val="auto"/>
          <w:sz w:val="24"/>
          <w:szCs w:val="24"/>
          <w:highlight w:val="none"/>
        </w:rPr>
        <w:t>；</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1.5.2 履行地点：</w:t>
      </w:r>
      <w:r>
        <w:rPr>
          <w:rFonts w:hint="eastAsia" w:ascii="宋体" w:hAnsi="宋体" w:cs="宋体"/>
          <w:color w:val="auto"/>
          <w:sz w:val="24"/>
          <w:szCs w:val="24"/>
          <w:highlight w:val="none"/>
          <w:u w:val="single"/>
        </w:rPr>
        <w:t xml:space="preserve">    采购人指定地点   </w:t>
      </w:r>
      <w:r>
        <w:rPr>
          <w:rFonts w:hint="eastAsia" w:ascii="宋体" w:hAnsi="宋体" w:cs="宋体"/>
          <w:color w:val="auto"/>
          <w:sz w:val="24"/>
          <w:szCs w:val="24"/>
          <w:highlight w:val="none"/>
        </w:rPr>
        <w:t>；</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1.5.3 履行方式：</w:t>
      </w:r>
      <w:r>
        <w:rPr>
          <w:rFonts w:hint="eastAsia" w:ascii="宋体" w:hAnsi="宋体" w:cs="宋体"/>
          <w:color w:val="auto"/>
          <w:sz w:val="24"/>
          <w:szCs w:val="24"/>
          <w:highlight w:val="none"/>
          <w:u w:val="single"/>
        </w:rPr>
        <w:t xml:space="preserve">　　现场交付   </w:t>
      </w:r>
      <w:r>
        <w:rPr>
          <w:rFonts w:hint="eastAsia" w:ascii="宋体" w:hAnsi="宋体" w:cs="宋体"/>
          <w:color w:val="auto"/>
          <w:sz w:val="24"/>
          <w:szCs w:val="24"/>
          <w:highlight w:val="none"/>
        </w:rPr>
        <w:t>。</w:t>
      </w:r>
    </w:p>
    <w:p>
      <w:pPr>
        <w:spacing w:line="560" w:lineRule="exact"/>
        <w:ind w:firstLine="482" w:firstLineChars="200"/>
        <w:rPr>
          <w:rFonts w:ascii="宋体" w:hAnsi="宋体" w:cs="宋体"/>
          <w:color w:val="auto"/>
          <w:sz w:val="24"/>
          <w:szCs w:val="24"/>
          <w:highlight w:val="none"/>
          <w:u w:val="single"/>
        </w:rPr>
      </w:pPr>
      <w:bookmarkStart w:id="33" w:name="_Toc8586"/>
      <w:bookmarkStart w:id="34" w:name="_Toc24662"/>
      <w:bookmarkStart w:id="35" w:name="_Toc3079"/>
      <w:bookmarkStart w:id="36" w:name="_Toc2375"/>
      <w:bookmarkStart w:id="37" w:name="_Toc5698"/>
      <w:r>
        <w:rPr>
          <w:rFonts w:hint="eastAsia" w:ascii="宋体" w:hAnsi="宋体" w:cs="宋体"/>
          <w:b/>
          <w:color w:val="auto"/>
          <w:sz w:val="24"/>
          <w:szCs w:val="24"/>
          <w:highlight w:val="none"/>
        </w:rPr>
        <w:t>1.6 违约责任</w:t>
      </w:r>
      <w:bookmarkEnd w:id="33"/>
      <w:bookmarkEnd w:id="34"/>
      <w:bookmarkEnd w:id="35"/>
      <w:bookmarkEnd w:id="36"/>
      <w:bookmarkEnd w:id="37"/>
    </w:p>
    <w:p>
      <w:pPr>
        <w:spacing w:line="560" w:lineRule="exact"/>
        <w:ind w:firstLine="480" w:firstLineChars="200"/>
        <w:rPr>
          <w:rFonts w:ascii="宋体" w:hAnsi="宋体" w:cs="宋体"/>
          <w:color w:val="auto"/>
          <w:sz w:val="24"/>
          <w:szCs w:val="24"/>
          <w:highlight w:val="none"/>
        </w:rPr>
      </w:pPr>
      <w:bookmarkStart w:id="38" w:name="_Toc9497"/>
      <w:bookmarkStart w:id="39" w:name="_Toc26807"/>
      <w:bookmarkStart w:id="40" w:name="_Toc32454"/>
      <w:bookmarkStart w:id="41" w:name="_Toc18683"/>
      <w:bookmarkStart w:id="42" w:name="_Toc30329"/>
      <w:r>
        <w:rPr>
          <w:rFonts w:hint="eastAsia" w:ascii="宋体" w:hAnsi="宋体" w:cs="宋体"/>
          <w:color w:val="auto"/>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color w:val="auto"/>
          <w:sz w:val="24"/>
          <w:szCs w:val="24"/>
          <w:highlight w:val="none"/>
          <w:u w:val="single"/>
        </w:rPr>
        <w:t xml:space="preserve"> 0.01 </w:t>
      </w:r>
      <w:r>
        <w:rPr>
          <w:rFonts w:hint="eastAsia" w:ascii="宋体" w:hAnsi="宋体" w:cs="宋体"/>
          <w:color w:val="auto"/>
          <w:sz w:val="24"/>
          <w:szCs w:val="24"/>
          <w:highlight w:val="none"/>
        </w:rPr>
        <w:t>%计算，最高限额为本合同总价的</w:t>
      </w:r>
      <w:r>
        <w:rPr>
          <w:rFonts w:hint="eastAsia" w:ascii="宋体" w:hAnsi="宋体" w:cs="宋体"/>
          <w:color w:val="auto"/>
          <w:sz w:val="24"/>
          <w:szCs w:val="24"/>
          <w:highlight w:val="none"/>
          <w:u w:val="single"/>
        </w:rPr>
        <w:t xml:space="preserve"> 0.05  </w:t>
      </w:r>
      <w:r>
        <w:rPr>
          <w:rFonts w:hint="eastAsia" w:ascii="宋体" w:hAnsi="宋体" w:cs="宋体"/>
          <w:color w:val="auto"/>
          <w:sz w:val="24"/>
          <w:szCs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szCs w:val="24"/>
          <w:highlight w:val="none"/>
          <w:u w:val="single"/>
        </w:rPr>
        <w:t xml:space="preserve"> 0.01 </w:t>
      </w:r>
      <w:r>
        <w:rPr>
          <w:rFonts w:hint="eastAsia" w:ascii="宋体" w:hAnsi="宋体" w:cs="宋体"/>
          <w:color w:val="auto"/>
          <w:sz w:val="24"/>
          <w:szCs w:val="24"/>
          <w:highlight w:val="none"/>
        </w:rPr>
        <w:t>%计算，最高限额为本合同总价的</w:t>
      </w:r>
      <w:r>
        <w:rPr>
          <w:rFonts w:hint="eastAsia" w:ascii="宋体" w:hAnsi="宋体" w:cs="宋体"/>
          <w:color w:val="auto"/>
          <w:sz w:val="24"/>
          <w:szCs w:val="24"/>
          <w:highlight w:val="none"/>
          <w:u w:val="single"/>
        </w:rPr>
        <w:t xml:space="preserve"> 0.05 </w:t>
      </w:r>
      <w:r>
        <w:rPr>
          <w:rFonts w:hint="eastAsia" w:ascii="宋体" w:hAnsi="宋体" w:cs="宋体"/>
          <w:color w:val="auto"/>
          <w:sz w:val="24"/>
          <w:szCs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color w:val="auto"/>
          <w:sz w:val="24"/>
          <w:szCs w:val="24"/>
          <w:highlight w:val="none"/>
        </w:rPr>
      </w:pPr>
      <w:r>
        <w:rPr>
          <w:rFonts w:hint="eastAsia" w:ascii="宋体" w:hAnsi="宋体"/>
          <w:bCs/>
          <w:color w:val="auto"/>
          <w:sz w:val="24"/>
          <w:highlight w:val="none"/>
        </w:rPr>
        <w:t xml:space="preserve">1.6.5 </w:t>
      </w:r>
      <w:r>
        <w:rPr>
          <w:rFonts w:hint="eastAsia" w:ascii="宋体" w:hAnsi="宋体"/>
          <w:bCs/>
          <w:color w:val="auto"/>
          <w:sz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1.7 合同争议的解决</w:t>
      </w:r>
      <w:bookmarkEnd w:id="38"/>
      <w:bookmarkEnd w:id="39"/>
      <w:bookmarkEnd w:id="40"/>
      <w:bookmarkEnd w:id="41"/>
      <w:bookmarkEnd w:id="42"/>
    </w:p>
    <w:p>
      <w:pPr>
        <w:spacing w:line="560" w:lineRule="exact"/>
        <w:ind w:firstLine="480" w:firstLineChars="200"/>
        <w:rPr>
          <w:rFonts w:hint="eastAsia" w:ascii="宋体" w:hAnsi="宋体" w:cs="宋体"/>
          <w:color w:val="auto"/>
          <w:sz w:val="24"/>
          <w:szCs w:val="24"/>
          <w:highlight w:val="none"/>
        </w:rPr>
      </w:pPr>
      <w:bookmarkStart w:id="43" w:name="_Toc12273"/>
      <w:bookmarkStart w:id="44" w:name="_Toc15827"/>
      <w:bookmarkStart w:id="45" w:name="_Toc16417"/>
      <w:bookmarkStart w:id="46" w:name="_Toc26227"/>
      <w:bookmarkStart w:id="47" w:name="_Toc23784"/>
      <w:r>
        <w:rPr>
          <w:rFonts w:hint="eastAsia" w:ascii="宋体" w:hAnsi="宋体" w:cs="宋体"/>
          <w:color w:val="auto"/>
          <w:sz w:val="24"/>
          <w:szCs w:val="24"/>
          <w:highlight w:val="none"/>
        </w:rPr>
        <w:t>1.7.1 凡因本合同引起的或与本合同有关的任何争议，均提交所在项目地（宜兴）人民法院起诉。</w:t>
      </w:r>
    </w:p>
    <w:p>
      <w:pPr>
        <w:spacing w:line="56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1.8 合同生效</w:t>
      </w:r>
      <w:bookmarkEnd w:id="43"/>
      <w:bookmarkEnd w:id="44"/>
      <w:bookmarkEnd w:id="45"/>
      <w:bookmarkEnd w:id="46"/>
      <w:bookmarkEnd w:id="47"/>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本合同</w:t>
      </w:r>
      <w:r>
        <w:rPr>
          <w:rFonts w:hint="eastAsia" w:ascii="宋体" w:hAnsi="宋体" w:cs="宋体"/>
          <w:color w:val="auto"/>
          <w:sz w:val="24"/>
          <w:highlight w:val="none"/>
          <w:lang w:val="zh-CN"/>
        </w:rPr>
        <w:t>经甲乙双方代表签字并加盖公章（或合同章）后即生效。</w:t>
      </w:r>
    </w:p>
    <w:p>
      <w:pPr>
        <w:autoSpaceDE w:val="0"/>
        <w:autoSpaceDN w:val="0"/>
        <w:adjustRightInd w:val="0"/>
        <w:spacing w:line="560" w:lineRule="exact"/>
        <w:ind w:firstLine="480"/>
        <w:rPr>
          <w:rFonts w:ascii="宋体" w:hAnsi="宋体" w:cs="宋体"/>
          <w:color w:val="auto"/>
          <w:sz w:val="24"/>
          <w:highlight w:val="none"/>
        </w:rPr>
      </w:pPr>
      <w:r>
        <w:rPr>
          <w:rFonts w:hint="eastAsia" w:ascii="宋体" w:hAnsi="宋体" w:cs="宋体"/>
          <w:color w:val="auto"/>
          <w:sz w:val="24"/>
          <w:highlight w:val="none"/>
        </w:rPr>
        <w:t>1.8.2 本合同一式</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rPr>
        <w:t>份，供需双方各持</w:t>
      </w:r>
      <w:r>
        <w:rPr>
          <w:rFonts w:hint="eastAsia" w:ascii="宋体" w:hAnsi="宋体" w:cs="宋体"/>
          <w:color w:val="auto"/>
          <w:sz w:val="24"/>
          <w:highlight w:val="none"/>
          <w:u w:val="single"/>
        </w:rPr>
        <w:t>壹</w:t>
      </w:r>
      <w:r>
        <w:rPr>
          <w:rFonts w:hint="eastAsia" w:ascii="宋体" w:hAnsi="宋体" w:cs="宋体"/>
          <w:color w:val="auto"/>
          <w:sz w:val="24"/>
          <w:highlight w:val="none"/>
        </w:rPr>
        <w:t>份，采购代理机构备案</w:t>
      </w:r>
      <w:r>
        <w:rPr>
          <w:rFonts w:hint="eastAsia" w:ascii="宋体" w:hAnsi="宋体" w:cs="宋体"/>
          <w:color w:val="auto"/>
          <w:sz w:val="24"/>
          <w:highlight w:val="none"/>
          <w:u w:val="single"/>
        </w:rPr>
        <w:t>壹</w:t>
      </w:r>
      <w:r>
        <w:rPr>
          <w:rFonts w:hint="eastAsia" w:ascii="宋体" w:hAnsi="宋体" w:cs="宋体"/>
          <w:color w:val="auto"/>
          <w:sz w:val="24"/>
          <w:highlight w:val="none"/>
        </w:rPr>
        <w:t>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财政监管部门备案</w:t>
      </w:r>
      <w:r>
        <w:rPr>
          <w:rFonts w:hint="eastAsia" w:ascii="宋体" w:hAnsi="宋体" w:cs="宋体"/>
          <w:color w:val="auto"/>
          <w:sz w:val="24"/>
          <w:highlight w:val="none"/>
          <w:u w:val="single"/>
        </w:rPr>
        <w:t>壹</w:t>
      </w:r>
      <w:r>
        <w:rPr>
          <w:rFonts w:hint="eastAsia" w:ascii="宋体" w:hAnsi="宋体" w:cs="宋体"/>
          <w:color w:val="auto"/>
          <w:sz w:val="24"/>
          <w:highlight w:val="none"/>
          <w:lang w:val="en-US" w:eastAsia="zh-CN"/>
        </w:rPr>
        <w:t>份</w:t>
      </w:r>
      <w:r>
        <w:rPr>
          <w:rFonts w:hint="eastAsia" w:ascii="宋体" w:hAnsi="宋体" w:cs="宋体"/>
          <w:color w:val="auto"/>
          <w:sz w:val="24"/>
          <w:highlight w:val="none"/>
        </w:rPr>
        <w:t>。</w:t>
      </w:r>
    </w:p>
    <w:p>
      <w:pPr>
        <w:autoSpaceDE w:val="0"/>
        <w:autoSpaceDN w:val="0"/>
        <w:adjustRightInd w:val="0"/>
        <w:spacing w:line="560" w:lineRule="exact"/>
        <w:ind w:firstLine="1205" w:firstLineChars="500"/>
        <w:rPr>
          <w:rFonts w:hint="eastAsia" w:ascii="宋体" w:hAnsi="宋体" w:cs="宋体"/>
          <w:b/>
          <w:color w:val="auto"/>
          <w:sz w:val="24"/>
          <w:szCs w:val="24"/>
          <w:highlight w:val="none"/>
          <w:lang w:val="zh-CN"/>
        </w:rPr>
      </w:pPr>
    </w:p>
    <w:p>
      <w:pPr>
        <w:autoSpaceDE w:val="0"/>
        <w:autoSpaceDN w:val="0"/>
        <w:adjustRightInd w:val="0"/>
        <w:spacing w:line="560" w:lineRule="exact"/>
        <w:ind w:firstLine="1205" w:firstLineChars="500"/>
        <w:rPr>
          <w:rFonts w:ascii="宋体" w:hAnsi="宋体" w:cs="宋体"/>
          <w:color w:val="auto"/>
          <w:sz w:val="24"/>
          <w:szCs w:val="24"/>
          <w:highlight w:val="none"/>
          <w:lang w:val="zh-CN"/>
        </w:rPr>
      </w:pPr>
      <w:r>
        <w:rPr>
          <w:rFonts w:hint="eastAsia" w:ascii="宋体" w:hAnsi="宋体" w:cs="宋体"/>
          <w:b/>
          <w:color w:val="auto"/>
          <w:sz w:val="24"/>
          <w:szCs w:val="24"/>
          <w:highlight w:val="none"/>
          <w:lang w:val="zh-CN"/>
        </w:rPr>
        <w:t>甲方</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 xml:space="preserve">      乙方</w:t>
      </w:r>
      <w:r>
        <w:rPr>
          <w:rFonts w:hint="eastAsia" w:ascii="宋体" w:hAnsi="宋体" w:cs="宋体"/>
          <w:color w:val="auto"/>
          <w:sz w:val="24"/>
          <w:szCs w:val="24"/>
          <w:highlight w:val="none"/>
          <w:lang w:val="zh-CN"/>
        </w:rPr>
        <w:t>：</w:t>
      </w:r>
    </w:p>
    <w:p>
      <w:pPr>
        <w:autoSpaceDE w:val="0"/>
        <w:autoSpaceDN w:val="0"/>
        <w:adjustRightInd w:val="0"/>
        <w:spacing w:line="560" w:lineRule="exact"/>
        <w:ind w:firstLine="1260" w:firstLineChars="525"/>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统一社会信用代码：                       统一社会信用代码或身份证号码：</w:t>
      </w:r>
    </w:p>
    <w:p>
      <w:pPr>
        <w:autoSpaceDE w:val="0"/>
        <w:autoSpaceDN w:val="0"/>
        <w:adjustRightInd w:val="0"/>
        <w:spacing w:line="560" w:lineRule="exact"/>
        <w:ind w:firstLine="1260" w:firstLineChars="525"/>
        <w:rPr>
          <w:rFonts w:ascii="宋体" w:hAnsi="宋体" w:cs="宋体"/>
          <w:color w:val="auto"/>
          <w:sz w:val="24"/>
          <w:szCs w:val="24"/>
          <w:highlight w:val="none"/>
          <w:lang w:val="zh-CN"/>
        </w:rPr>
      </w:pPr>
    </w:p>
    <w:p>
      <w:pPr>
        <w:autoSpaceDE w:val="0"/>
        <w:autoSpaceDN w:val="0"/>
        <w:adjustRightInd w:val="0"/>
        <w:spacing w:line="560" w:lineRule="exact"/>
        <w:ind w:firstLine="1260" w:firstLineChars="525"/>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住所：                                   住所：</w:t>
      </w:r>
    </w:p>
    <w:p>
      <w:pPr>
        <w:autoSpaceDE w:val="0"/>
        <w:autoSpaceDN w:val="0"/>
        <w:adjustRightInd w:val="0"/>
        <w:spacing w:line="560" w:lineRule="exact"/>
        <w:ind w:firstLine="1260" w:firstLineChars="525"/>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                             法定代表人</w:t>
      </w:r>
    </w:p>
    <w:p>
      <w:pPr>
        <w:autoSpaceDE w:val="0"/>
        <w:autoSpaceDN w:val="0"/>
        <w:adjustRightInd w:val="0"/>
        <w:spacing w:line="560" w:lineRule="exact"/>
        <w:ind w:firstLine="1260" w:firstLineChars="525"/>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授权代表（签字）：                        或授权代表（签字）: </w:t>
      </w:r>
    </w:p>
    <w:p>
      <w:pPr>
        <w:autoSpaceDE w:val="0"/>
        <w:autoSpaceDN w:val="0"/>
        <w:adjustRightInd w:val="0"/>
        <w:spacing w:line="560" w:lineRule="exact"/>
        <w:ind w:firstLine="1260" w:firstLineChars="525"/>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联系人：                                 联系人：</w:t>
      </w:r>
    </w:p>
    <w:p>
      <w:pPr>
        <w:autoSpaceDE w:val="0"/>
        <w:autoSpaceDN w:val="0"/>
        <w:adjustRightInd w:val="0"/>
        <w:spacing w:line="560" w:lineRule="exact"/>
        <w:ind w:firstLine="1260" w:firstLineChars="525"/>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约定送达地址：                           约定送达地址：</w:t>
      </w:r>
    </w:p>
    <w:p>
      <w:pPr>
        <w:autoSpaceDE w:val="0"/>
        <w:autoSpaceDN w:val="0"/>
        <w:adjustRightInd w:val="0"/>
        <w:spacing w:line="560" w:lineRule="exact"/>
        <w:ind w:firstLine="1260" w:firstLineChars="525"/>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邮政编码：                               邮政编码：</w:t>
      </w:r>
    </w:p>
    <w:p>
      <w:pPr>
        <w:autoSpaceDE w:val="0"/>
        <w:autoSpaceDN w:val="0"/>
        <w:adjustRightInd w:val="0"/>
        <w:spacing w:line="560" w:lineRule="exact"/>
        <w:ind w:firstLine="1260" w:firstLineChars="525"/>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电话:                                    电话: </w:t>
      </w:r>
    </w:p>
    <w:p>
      <w:pPr>
        <w:autoSpaceDE w:val="0"/>
        <w:autoSpaceDN w:val="0"/>
        <w:adjustRightInd w:val="0"/>
        <w:spacing w:line="560" w:lineRule="exact"/>
        <w:ind w:firstLine="1260" w:firstLineChars="525"/>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传真:                                    传真:</w:t>
      </w:r>
    </w:p>
    <w:p>
      <w:pPr>
        <w:autoSpaceDE w:val="0"/>
        <w:autoSpaceDN w:val="0"/>
        <w:adjustRightInd w:val="0"/>
        <w:spacing w:line="560" w:lineRule="exact"/>
        <w:ind w:firstLine="1260" w:firstLineChars="525"/>
        <w:rPr>
          <w:rFonts w:ascii="宋体" w:hAnsi="宋体" w:cs="宋体"/>
          <w:color w:val="auto"/>
          <w:sz w:val="24"/>
          <w:szCs w:val="24"/>
          <w:highlight w:val="none"/>
        </w:rPr>
      </w:pPr>
      <w:r>
        <w:rPr>
          <w:rFonts w:hint="eastAsia" w:ascii="宋体" w:hAnsi="宋体" w:cs="宋体"/>
          <w:color w:val="auto"/>
          <w:sz w:val="24"/>
          <w:szCs w:val="24"/>
          <w:highlight w:val="none"/>
          <w:lang w:val="zh-CN"/>
        </w:rPr>
        <w:t>电子邮箱：                               电子邮箱：</w:t>
      </w:r>
    </w:p>
    <w:p>
      <w:pPr>
        <w:autoSpaceDE w:val="0"/>
        <w:autoSpaceDN w:val="0"/>
        <w:adjustRightInd w:val="0"/>
        <w:spacing w:line="560" w:lineRule="exact"/>
        <w:ind w:firstLine="1260" w:firstLineChars="525"/>
        <w:rPr>
          <w:rFonts w:ascii="宋体" w:hAnsi="宋体" w:cs="宋体"/>
          <w:color w:val="auto"/>
          <w:sz w:val="24"/>
          <w:szCs w:val="24"/>
          <w:highlight w:val="none"/>
        </w:rPr>
      </w:pPr>
      <w:r>
        <w:rPr>
          <w:rFonts w:hint="eastAsia" w:ascii="宋体" w:hAnsi="宋体" w:cs="宋体"/>
          <w:color w:val="auto"/>
          <w:sz w:val="24"/>
          <w:szCs w:val="24"/>
          <w:highlight w:val="none"/>
        </w:rPr>
        <w:t xml:space="preserve">开户银行：                               开户银行： </w:t>
      </w:r>
    </w:p>
    <w:p>
      <w:pPr>
        <w:autoSpaceDE w:val="0"/>
        <w:autoSpaceDN w:val="0"/>
        <w:adjustRightInd w:val="0"/>
        <w:spacing w:line="560" w:lineRule="exact"/>
        <w:ind w:firstLine="1260" w:firstLineChars="525"/>
        <w:rPr>
          <w:rFonts w:ascii="宋体" w:hAnsi="宋体" w:cs="宋体"/>
          <w:color w:val="auto"/>
          <w:sz w:val="24"/>
          <w:szCs w:val="24"/>
          <w:highlight w:val="none"/>
        </w:rPr>
      </w:pPr>
      <w:r>
        <w:rPr>
          <w:rFonts w:hint="eastAsia" w:ascii="宋体" w:hAnsi="宋体" w:cs="宋体"/>
          <w:color w:val="auto"/>
          <w:sz w:val="24"/>
          <w:szCs w:val="24"/>
          <w:highlight w:val="none"/>
        </w:rPr>
        <w:t xml:space="preserve">开户名称：                               开户名称： </w:t>
      </w:r>
    </w:p>
    <w:p>
      <w:pPr>
        <w:autoSpaceDE w:val="0"/>
        <w:autoSpaceDN w:val="0"/>
        <w:adjustRightInd w:val="0"/>
        <w:spacing w:line="560" w:lineRule="exact"/>
        <w:ind w:firstLine="1260" w:firstLineChars="525"/>
        <w:rPr>
          <w:rFonts w:ascii="宋体" w:hAnsi="宋体" w:cs="宋体"/>
          <w:color w:val="auto"/>
          <w:sz w:val="24"/>
          <w:szCs w:val="24"/>
          <w:highlight w:val="none"/>
        </w:rPr>
      </w:pPr>
      <w:r>
        <w:rPr>
          <w:rFonts w:hint="eastAsia" w:ascii="宋体" w:hAnsi="宋体" w:cs="宋体"/>
          <w:color w:val="auto"/>
          <w:sz w:val="24"/>
          <w:szCs w:val="24"/>
          <w:highlight w:val="none"/>
        </w:rPr>
        <w:t>开户账号：</w:t>
      </w: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rPr>
        <w:t>开户账号：</w:t>
      </w:r>
    </w:p>
    <w:p>
      <w:pPr>
        <w:pStyle w:val="50"/>
        <w:keepNext w:val="0"/>
        <w:keepLines w:val="0"/>
        <w:pageBreakBefore/>
        <w:widowControl w:val="0"/>
        <w:kinsoku/>
        <w:wordWrap/>
        <w:overflowPunct/>
        <w:topLinePunct w:val="0"/>
        <w:autoSpaceDE w:val="0"/>
        <w:autoSpaceDN w:val="0"/>
        <w:bidi w:val="0"/>
        <w:adjustRightInd w:val="0"/>
        <w:snapToGrid/>
        <w:spacing w:line="560" w:lineRule="exact"/>
        <w:ind w:left="0" w:leftChars="0" w:firstLine="0" w:firstLineChars="0"/>
        <w:jc w:val="center"/>
        <w:textAlignment w:val="auto"/>
        <w:outlineLvl w:val="9"/>
        <w:rPr>
          <w:rFonts w:hAnsi="宋体" w:cs="宋体"/>
          <w:b/>
          <w:color w:val="auto"/>
          <w:szCs w:val="24"/>
          <w:highlight w:val="none"/>
        </w:rPr>
      </w:pPr>
      <w:bookmarkStart w:id="48" w:name="_Toc331685783"/>
      <w:r>
        <w:rPr>
          <w:rFonts w:hint="eastAsia" w:hAnsi="宋体" w:cs="宋体"/>
          <w:b/>
          <w:color w:val="auto"/>
          <w:szCs w:val="24"/>
          <w:highlight w:val="none"/>
        </w:rPr>
        <w:t>第二部分 合同一般条款</w:t>
      </w:r>
      <w:bookmarkEnd w:id="48"/>
    </w:p>
    <w:p>
      <w:pPr>
        <w:spacing w:line="560" w:lineRule="exact"/>
        <w:ind w:firstLine="482" w:firstLineChars="200"/>
        <w:rPr>
          <w:rFonts w:ascii="宋体" w:hAnsi="宋体" w:cs="宋体"/>
          <w:b/>
          <w:color w:val="auto"/>
          <w:sz w:val="24"/>
          <w:szCs w:val="24"/>
          <w:highlight w:val="none"/>
        </w:rPr>
      </w:pPr>
      <w:bookmarkStart w:id="49" w:name="_Ref467378499"/>
      <w:bookmarkStart w:id="50" w:name="_Ref467379101"/>
      <w:bookmarkStart w:id="51" w:name="_Ref467378463"/>
      <w:bookmarkStart w:id="52" w:name="_Ref467379109"/>
      <w:bookmarkStart w:id="53" w:name="_Ref467379225"/>
      <w:bookmarkStart w:id="54" w:name="_Ref467379195"/>
      <w:bookmarkStart w:id="55" w:name="_Toc279701240"/>
      <w:bookmarkStart w:id="56" w:name="_Toc31297"/>
      <w:bookmarkStart w:id="57" w:name="_Toc14021"/>
      <w:bookmarkStart w:id="58" w:name="_Ref467379214"/>
      <w:bookmarkStart w:id="59" w:name="_Ref467379094"/>
      <w:bookmarkStart w:id="60" w:name="_Ref467378404"/>
      <w:bookmarkStart w:id="61" w:name="_Ref467379205"/>
      <w:bookmarkStart w:id="62" w:name="_Toc25079"/>
      <w:bookmarkStart w:id="63" w:name="_Toc259093669"/>
      <w:bookmarkStart w:id="64" w:name="_Toc5228"/>
      <w:bookmarkStart w:id="65" w:name="_Toc487900349"/>
      <w:bookmarkStart w:id="66" w:name="_Toc19680"/>
      <w:r>
        <w:rPr>
          <w:rFonts w:hint="eastAsia" w:ascii="宋体" w:hAnsi="宋体" w:cs="宋体"/>
          <w:b/>
          <w:color w:val="auto"/>
          <w:sz w:val="24"/>
          <w:szCs w:val="24"/>
          <w:highlight w:val="none"/>
        </w:rPr>
        <w:t>2.1 定义</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本合同中的下列词语应按以下内容进行解释：</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2.1.2 “合同价”系指根据合同约定，中标供应商在完全履行合同义务后，采购人应支付给中标供应商的价格。</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color w:val="auto"/>
          <w:sz w:val="24"/>
          <w:szCs w:val="24"/>
          <w:highlight w:val="none"/>
        </w:rPr>
      </w:pPr>
      <w:bookmarkStart w:id="67" w:name="_Ref467378840"/>
      <w:r>
        <w:rPr>
          <w:rFonts w:hint="eastAsia" w:ascii="宋体" w:hAnsi="宋体" w:cs="宋体"/>
          <w:color w:val="auto"/>
          <w:sz w:val="24"/>
          <w:szCs w:val="24"/>
          <w:highlight w:val="none"/>
        </w:rPr>
        <w:t>2.1.4 “甲方”系指与中标供应商签署合同的采购人</w:t>
      </w:r>
      <w:bookmarkEnd w:id="67"/>
      <w:r>
        <w:rPr>
          <w:rFonts w:hint="eastAsia" w:ascii="宋体" w:hAnsi="宋体" w:cs="宋体"/>
          <w:color w:val="auto"/>
          <w:sz w:val="24"/>
          <w:szCs w:val="24"/>
          <w:highlight w:val="none"/>
        </w:rPr>
        <w:t>；采购人委托采购代理机构代表其与乙方签订合同的，采购人的授权委托书作为合同附件。</w:t>
      </w:r>
    </w:p>
    <w:p>
      <w:pPr>
        <w:spacing w:line="560" w:lineRule="exact"/>
        <w:ind w:firstLine="480" w:firstLineChars="200"/>
        <w:rPr>
          <w:rFonts w:ascii="宋体" w:hAnsi="宋体" w:cs="宋体"/>
          <w:color w:val="auto"/>
          <w:sz w:val="24"/>
          <w:szCs w:val="24"/>
          <w:highlight w:val="none"/>
        </w:rPr>
      </w:pPr>
      <w:bookmarkStart w:id="68" w:name="_Ref467379400"/>
      <w:r>
        <w:rPr>
          <w:rFonts w:hint="eastAsia" w:ascii="宋体" w:hAnsi="宋体" w:cs="宋体"/>
          <w:color w:val="auto"/>
          <w:sz w:val="24"/>
          <w:szCs w:val="24"/>
          <w:highlight w:val="none"/>
        </w:rPr>
        <w:t>2.1.5 “乙方”系指根据合同约定提供服务的中标供应商</w:t>
      </w:r>
      <w:bookmarkEnd w:id="68"/>
      <w:r>
        <w:rPr>
          <w:rFonts w:hint="eastAsia" w:ascii="宋体" w:hAnsi="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color w:val="auto"/>
          <w:sz w:val="24"/>
          <w:szCs w:val="24"/>
          <w:highlight w:val="none"/>
        </w:rPr>
      </w:pPr>
      <w:bookmarkStart w:id="69" w:name="_Ref467379436"/>
      <w:r>
        <w:rPr>
          <w:rFonts w:hint="eastAsia" w:ascii="宋体" w:hAnsi="宋体" w:cs="宋体"/>
          <w:color w:val="auto"/>
          <w:sz w:val="24"/>
          <w:szCs w:val="24"/>
          <w:highlight w:val="none"/>
        </w:rPr>
        <w:t>2.1.6 “现场”系指合同约定提供服务的地点。</w:t>
      </w:r>
      <w:bookmarkEnd w:id="69"/>
    </w:p>
    <w:p>
      <w:pPr>
        <w:spacing w:line="560" w:lineRule="exact"/>
        <w:ind w:firstLine="482" w:firstLineChars="200"/>
        <w:rPr>
          <w:rFonts w:ascii="宋体" w:hAnsi="宋体" w:cs="宋体"/>
          <w:b/>
          <w:color w:val="auto"/>
          <w:sz w:val="24"/>
          <w:szCs w:val="24"/>
          <w:highlight w:val="none"/>
        </w:rPr>
      </w:pPr>
      <w:bookmarkStart w:id="70" w:name="_Toc31402"/>
      <w:bookmarkStart w:id="71" w:name="_Toc259093670"/>
      <w:bookmarkStart w:id="72" w:name="_Toc279701241"/>
      <w:bookmarkStart w:id="73" w:name="_Toc23289"/>
      <w:bookmarkStart w:id="74" w:name="_Toc19539"/>
      <w:bookmarkStart w:id="75" w:name="_Toc16752"/>
      <w:bookmarkStart w:id="76" w:name="_Toc487900350"/>
      <w:bookmarkStart w:id="77" w:name="_Toc3769"/>
      <w:r>
        <w:rPr>
          <w:rFonts w:hint="eastAsia" w:ascii="宋体" w:hAnsi="宋体" w:cs="宋体"/>
          <w:b/>
          <w:color w:val="auto"/>
          <w:sz w:val="24"/>
          <w:szCs w:val="24"/>
          <w:highlight w:val="none"/>
        </w:rPr>
        <w:t>2.2 技术规范</w:t>
      </w:r>
      <w:bookmarkEnd w:id="70"/>
      <w:bookmarkEnd w:id="71"/>
      <w:bookmarkEnd w:id="72"/>
      <w:bookmarkEnd w:id="73"/>
      <w:bookmarkEnd w:id="74"/>
      <w:bookmarkEnd w:id="75"/>
      <w:bookmarkEnd w:id="76"/>
      <w:bookmarkEnd w:id="77"/>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rPr>
          <w:rFonts w:ascii="宋体" w:hAnsi="宋体" w:cs="宋体"/>
          <w:b/>
          <w:color w:val="auto"/>
          <w:sz w:val="24"/>
          <w:szCs w:val="24"/>
          <w:highlight w:val="none"/>
        </w:rPr>
      </w:pPr>
      <w:bookmarkStart w:id="78" w:name="_Toc9161"/>
      <w:bookmarkStart w:id="79" w:name="_Toc4133"/>
      <w:bookmarkStart w:id="80" w:name="_Toc279701242"/>
      <w:bookmarkStart w:id="81" w:name="_Toc259093671"/>
      <w:bookmarkStart w:id="82" w:name="_Toc12412"/>
      <w:bookmarkStart w:id="83" w:name="_Toc487900351"/>
      <w:bookmarkStart w:id="84" w:name="_Toc27945"/>
      <w:bookmarkStart w:id="85" w:name="_Toc13673"/>
      <w:r>
        <w:rPr>
          <w:rFonts w:hint="eastAsia" w:ascii="宋体" w:hAnsi="宋体" w:cs="宋体"/>
          <w:b/>
          <w:color w:val="auto"/>
          <w:sz w:val="24"/>
          <w:szCs w:val="24"/>
          <w:highlight w:val="none"/>
        </w:rPr>
        <w:t>2.3 知识产权</w:t>
      </w:r>
      <w:bookmarkEnd w:id="78"/>
      <w:bookmarkEnd w:id="79"/>
      <w:bookmarkEnd w:id="80"/>
      <w:bookmarkEnd w:id="81"/>
      <w:bookmarkEnd w:id="82"/>
      <w:bookmarkEnd w:id="83"/>
      <w:bookmarkEnd w:id="84"/>
      <w:bookmarkEnd w:id="85"/>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2.3.2 技术成果归属甲方。</w:t>
      </w:r>
    </w:p>
    <w:p>
      <w:pPr>
        <w:spacing w:line="56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2.4 履约检查和问题反馈</w:t>
      </w:r>
    </w:p>
    <w:p>
      <w:pPr>
        <w:spacing w:line="560" w:lineRule="exact"/>
        <w:ind w:firstLine="480" w:firstLineChars="200"/>
        <w:rPr>
          <w:rFonts w:ascii="宋体" w:hAnsi="宋体" w:cs="宋体"/>
          <w:color w:val="auto"/>
          <w:sz w:val="24"/>
          <w:szCs w:val="24"/>
          <w:highlight w:val="none"/>
        </w:rPr>
      </w:pPr>
      <w:bookmarkStart w:id="86" w:name="_Ref467379657"/>
      <w:r>
        <w:rPr>
          <w:rFonts w:hint="eastAsia" w:ascii="宋体" w:hAnsi="宋体" w:cs="宋体"/>
          <w:color w:val="auto"/>
          <w:sz w:val="24"/>
          <w:szCs w:val="24"/>
          <w:highlight w:val="none"/>
        </w:rPr>
        <w:t>2.4.1</w:t>
      </w:r>
      <w:bookmarkEnd w:id="86"/>
      <w:bookmarkStart w:id="87" w:name="_Toc186431854"/>
      <w:bookmarkStart w:id="88" w:name="_Toc259093676"/>
      <w:bookmarkStart w:id="89" w:name="_Ref467379793"/>
      <w:bookmarkStart w:id="90" w:name="_Toc279701247"/>
      <w:bookmarkStart w:id="91" w:name="_Ref467379807"/>
      <w:bookmarkStart w:id="92" w:name="_Toc487900357"/>
      <w:r>
        <w:rPr>
          <w:rFonts w:hint="eastAsia" w:ascii="宋体" w:hAnsi="宋体" w:cs="宋体"/>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2.4.2 合同履行期间，甲方有权将履行过程中出现的问题反馈给乙方，双方当事人应以书面形式约定需要完善和改进的内容</w:t>
      </w:r>
      <w:bookmarkEnd w:id="87"/>
      <w:bookmarkStart w:id="93" w:name="_Toc186431855"/>
      <w:r>
        <w:rPr>
          <w:rFonts w:hint="eastAsia" w:ascii="宋体" w:hAnsi="宋体" w:cs="宋体"/>
          <w:color w:val="auto"/>
          <w:sz w:val="24"/>
          <w:szCs w:val="24"/>
          <w:highlight w:val="none"/>
        </w:rPr>
        <w:t>。</w:t>
      </w:r>
    </w:p>
    <w:bookmarkEnd w:id="88"/>
    <w:bookmarkEnd w:id="89"/>
    <w:bookmarkEnd w:id="90"/>
    <w:bookmarkEnd w:id="91"/>
    <w:bookmarkEnd w:id="92"/>
    <w:bookmarkEnd w:id="93"/>
    <w:p>
      <w:pPr>
        <w:spacing w:line="560" w:lineRule="exact"/>
        <w:ind w:firstLine="482" w:firstLineChars="200"/>
        <w:rPr>
          <w:rFonts w:ascii="宋体" w:hAnsi="宋体" w:cs="宋体"/>
          <w:b/>
          <w:color w:val="auto"/>
          <w:sz w:val="24"/>
          <w:szCs w:val="24"/>
          <w:highlight w:val="none"/>
        </w:rPr>
      </w:pPr>
      <w:bookmarkStart w:id="94" w:name="_Toc259093677"/>
      <w:bookmarkStart w:id="95" w:name="_Ref467379923"/>
      <w:bookmarkStart w:id="96" w:name="_Ref467379863"/>
      <w:bookmarkStart w:id="97" w:name="_Ref467379852"/>
      <w:bookmarkStart w:id="98" w:name="_Toc487900358"/>
      <w:bookmarkStart w:id="99" w:name="_Toc279701248"/>
      <w:bookmarkStart w:id="100" w:name="_Toc30507"/>
      <w:bookmarkStart w:id="101" w:name="_Toc18990"/>
      <w:bookmarkStart w:id="102" w:name="_Toc13154"/>
      <w:bookmarkStart w:id="103" w:name="_Toc16163"/>
      <w:bookmarkStart w:id="104" w:name="_Toc13467"/>
      <w:r>
        <w:rPr>
          <w:rFonts w:hint="eastAsia" w:ascii="宋体" w:hAnsi="宋体" w:cs="宋体"/>
          <w:b/>
          <w:color w:val="auto"/>
          <w:sz w:val="24"/>
          <w:szCs w:val="24"/>
          <w:highlight w:val="none"/>
        </w:rPr>
        <w:t>2.5 技术资料</w:t>
      </w:r>
      <w:bookmarkEnd w:id="94"/>
      <w:bookmarkEnd w:id="95"/>
      <w:bookmarkEnd w:id="96"/>
      <w:bookmarkEnd w:id="97"/>
      <w:bookmarkEnd w:id="98"/>
      <w:bookmarkEnd w:id="99"/>
      <w:r>
        <w:rPr>
          <w:rFonts w:hint="eastAsia" w:ascii="宋体" w:hAnsi="宋体" w:cs="宋体"/>
          <w:b/>
          <w:color w:val="auto"/>
          <w:sz w:val="24"/>
          <w:szCs w:val="24"/>
          <w:highlight w:val="none"/>
        </w:rPr>
        <w:t>和保密义务</w:t>
      </w:r>
      <w:bookmarkEnd w:id="100"/>
      <w:bookmarkEnd w:id="101"/>
      <w:bookmarkEnd w:id="102"/>
      <w:bookmarkEnd w:id="103"/>
      <w:bookmarkEnd w:id="104"/>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2.5.1 乙方有权依据合同约定和项目需要，向甲方了解有关情况，调阅有关资料等，甲方应予积极配合；</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2.5.2 乙方有义务妥善保管和保护由甲方提供的前款信息和资料等；</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rPr>
          <w:rFonts w:ascii="宋体" w:hAnsi="宋体" w:cs="宋体"/>
          <w:b/>
          <w:color w:val="auto"/>
          <w:sz w:val="24"/>
          <w:szCs w:val="24"/>
          <w:highlight w:val="none"/>
        </w:rPr>
      </w:pPr>
      <w:bookmarkStart w:id="105" w:name="_Toc19069"/>
      <w:bookmarkStart w:id="106" w:name="_Toc279701252"/>
      <w:bookmarkStart w:id="107" w:name="_Toc259093681"/>
      <w:bookmarkStart w:id="108" w:name="_Toc487900362"/>
      <w:r>
        <w:rPr>
          <w:rFonts w:hint="eastAsia" w:ascii="宋体" w:hAnsi="宋体" w:cs="宋体"/>
          <w:b/>
          <w:color w:val="auto"/>
          <w:sz w:val="24"/>
          <w:szCs w:val="24"/>
          <w:highlight w:val="none"/>
        </w:rPr>
        <w:t>2.6 质量保证</w:t>
      </w:r>
      <w:bookmarkEnd w:id="105"/>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2.6.1 乙方应建立和完善履行合同的内部质量保证体系，并提供相关内部规章制度给甲方，以便甲方进行监督检查；</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2.6.2 乙方应保证履行合同的人员数量和素质、软件和硬件设备的配置、场地、环境和设施等满足全面履行合同的要求，并应接受甲方的监督检查。</w:t>
      </w:r>
    </w:p>
    <w:p>
      <w:pPr>
        <w:spacing w:line="560" w:lineRule="exact"/>
        <w:ind w:firstLine="482" w:firstLineChars="200"/>
        <w:rPr>
          <w:rFonts w:ascii="宋体" w:hAnsi="宋体" w:cs="宋体"/>
          <w:b/>
          <w:color w:val="auto"/>
          <w:sz w:val="24"/>
          <w:szCs w:val="24"/>
          <w:highlight w:val="none"/>
        </w:rPr>
      </w:pPr>
      <w:bookmarkStart w:id="109" w:name="_Toc22267"/>
      <w:r>
        <w:rPr>
          <w:rFonts w:hint="eastAsia" w:ascii="宋体" w:hAnsi="宋体" w:cs="宋体"/>
          <w:b/>
          <w:color w:val="auto"/>
          <w:sz w:val="24"/>
          <w:szCs w:val="24"/>
          <w:highlight w:val="none"/>
        </w:rPr>
        <w:t>2.7 延迟</w:t>
      </w:r>
      <w:bookmarkEnd w:id="106"/>
      <w:bookmarkEnd w:id="107"/>
      <w:bookmarkEnd w:id="108"/>
      <w:r>
        <w:rPr>
          <w:rFonts w:hint="eastAsia" w:ascii="宋体" w:hAnsi="宋体" w:cs="宋体"/>
          <w:b/>
          <w:color w:val="auto"/>
          <w:sz w:val="24"/>
          <w:szCs w:val="24"/>
          <w:highlight w:val="none"/>
        </w:rPr>
        <w:t>履行</w:t>
      </w:r>
      <w:bookmarkEnd w:id="109"/>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rPr>
          <w:rFonts w:ascii="宋体" w:hAnsi="宋体" w:cs="宋体"/>
          <w:b/>
          <w:color w:val="auto"/>
          <w:sz w:val="24"/>
          <w:szCs w:val="24"/>
          <w:highlight w:val="none"/>
        </w:rPr>
      </w:pPr>
      <w:bookmarkStart w:id="110" w:name="_Toc10611"/>
      <w:bookmarkStart w:id="111" w:name="_Toc259093683"/>
      <w:bookmarkStart w:id="112" w:name="_Toc487900364"/>
      <w:bookmarkStart w:id="113" w:name="_Toc279701254"/>
      <w:bookmarkStart w:id="114" w:name="_Ref467378121"/>
      <w:r>
        <w:rPr>
          <w:rFonts w:hint="eastAsia" w:ascii="宋体" w:hAnsi="宋体" w:cs="宋体"/>
          <w:b/>
          <w:color w:val="auto"/>
          <w:sz w:val="24"/>
          <w:szCs w:val="24"/>
          <w:highlight w:val="none"/>
        </w:rPr>
        <w:t>2.8 合同变更</w:t>
      </w:r>
      <w:bookmarkEnd w:id="110"/>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bookmarkStart w:id="115" w:name="_Toc487900369"/>
      <w:bookmarkStart w:id="116" w:name="_Toc279701259"/>
      <w:bookmarkStart w:id="117" w:name="_Toc259093688"/>
    </w:p>
    <w:p>
      <w:pPr>
        <w:spacing w:line="560" w:lineRule="exact"/>
        <w:ind w:firstLine="482" w:firstLineChars="200"/>
        <w:rPr>
          <w:rFonts w:ascii="宋体" w:hAnsi="宋体" w:cs="宋体"/>
          <w:b/>
          <w:color w:val="auto"/>
          <w:sz w:val="24"/>
          <w:szCs w:val="24"/>
          <w:highlight w:val="none"/>
        </w:rPr>
      </w:pPr>
      <w:bookmarkStart w:id="118" w:name="_Toc42"/>
      <w:bookmarkStart w:id="119" w:name="_Toc23368"/>
      <w:bookmarkStart w:id="120" w:name="_Toc21830"/>
      <w:bookmarkStart w:id="121" w:name="_Toc10663"/>
      <w:bookmarkStart w:id="122" w:name="_Toc26689"/>
      <w:r>
        <w:rPr>
          <w:rFonts w:hint="eastAsia" w:ascii="宋体" w:hAnsi="宋体" w:cs="宋体"/>
          <w:b/>
          <w:color w:val="auto"/>
          <w:sz w:val="24"/>
          <w:szCs w:val="24"/>
          <w:highlight w:val="none"/>
        </w:rPr>
        <w:t>2.9 合同转让</w:t>
      </w:r>
      <w:bookmarkEnd w:id="115"/>
      <w:bookmarkEnd w:id="116"/>
      <w:bookmarkEnd w:id="117"/>
      <w:r>
        <w:rPr>
          <w:rFonts w:hint="eastAsia" w:ascii="宋体" w:hAnsi="宋体" w:cs="宋体"/>
          <w:b/>
          <w:color w:val="auto"/>
          <w:sz w:val="24"/>
          <w:szCs w:val="24"/>
          <w:highlight w:val="none"/>
        </w:rPr>
        <w:t>和分包</w:t>
      </w:r>
      <w:bookmarkEnd w:id="118"/>
      <w:bookmarkEnd w:id="119"/>
      <w:bookmarkEnd w:id="120"/>
      <w:bookmarkEnd w:id="121"/>
      <w:bookmarkEnd w:id="122"/>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合同的权利义务依法不得转让，如招标文件“第一章 投标邀请函”中甲方接受中标后分包，</w:t>
      </w:r>
      <w:r>
        <w:rPr>
          <w:rFonts w:hint="eastAsia" w:ascii="宋体" w:hAnsi="宋体" w:cs="宋体"/>
          <w:color w:val="auto"/>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rPr>
          <w:rFonts w:ascii="宋体" w:hAnsi="宋体" w:cs="宋体"/>
          <w:b/>
          <w:color w:val="auto"/>
          <w:sz w:val="24"/>
          <w:szCs w:val="24"/>
          <w:highlight w:val="none"/>
        </w:rPr>
      </w:pPr>
      <w:bookmarkStart w:id="123" w:name="_Toc14371"/>
      <w:bookmarkStart w:id="124" w:name="_Toc26633"/>
      <w:bookmarkStart w:id="125" w:name="_Toc32494"/>
      <w:bookmarkStart w:id="126" w:name="_Toc25571"/>
      <w:bookmarkStart w:id="127" w:name="_Toc4720"/>
      <w:r>
        <w:rPr>
          <w:rFonts w:hint="eastAsia" w:ascii="宋体" w:hAnsi="宋体" w:cs="宋体"/>
          <w:b/>
          <w:color w:val="auto"/>
          <w:sz w:val="24"/>
          <w:szCs w:val="24"/>
          <w:highlight w:val="none"/>
        </w:rPr>
        <w:t>2.10 不可抗力</w:t>
      </w:r>
      <w:bookmarkEnd w:id="123"/>
      <w:bookmarkEnd w:id="124"/>
      <w:bookmarkEnd w:id="125"/>
      <w:bookmarkEnd w:id="126"/>
      <w:bookmarkEnd w:id="127"/>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2.10.2 因不可抗力致使不能实现合同目的的，当事人可以解除合同；</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2.10.3 因不可抗力致使合同有变更必要的，</w:t>
      </w:r>
      <w:r>
        <w:rPr>
          <w:rFonts w:hint="eastAsia" w:ascii="宋体" w:hAnsi="宋体" w:cs="宋体"/>
          <w:color w:val="auto"/>
          <w:sz w:val="24"/>
          <w:highlight w:val="none"/>
        </w:rPr>
        <w:t>双方当事人应在约定时间内以书面形式变更合同</w:t>
      </w:r>
      <w:r>
        <w:rPr>
          <w:rFonts w:hint="eastAsia" w:ascii="宋体" w:hAnsi="宋体" w:cs="宋体"/>
          <w:color w:val="auto"/>
          <w:sz w:val="24"/>
          <w:szCs w:val="24"/>
          <w:highlight w:val="none"/>
        </w:rPr>
        <w:t>；</w:t>
      </w:r>
    </w:p>
    <w:p>
      <w:pPr>
        <w:spacing w:line="560" w:lineRule="exact"/>
        <w:ind w:firstLine="480" w:firstLineChars="200"/>
        <w:rPr>
          <w:rFonts w:ascii="宋体" w:hAnsi="宋体"/>
          <w:bCs/>
          <w:color w:val="auto"/>
          <w:sz w:val="24"/>
          <w:highlight w:val="none"/>
          <w:lang w:val="zh-CN"/>
        </w:rPr>
      </w:pPr>
      <w:r>
        <w:rPr>
          <w:rFonts w:hint="eastAsia" w:ascii="宋体" w:hAnsi="宋体" w:cs="宋体"/>
          <w:color w:val="auto"/>
          <w:sz w:val="24"/>
          <w:szCs w:val="24"/>
          <w:highlight w:val="none"/>
        </w:rPr>
        <w:t xml:space="preserve">2.10.4 </w:t>
      </w:r>
      <w:r>
        <w:rPr>
          <w:rFonts w:hint="eastAsia" w:ascii="宋体" w:hAnsi="宋体"/>
          <w:bCs/>
          <w:color w:val="auto"/>
          <w:sz w:val="24"/>
          <w:highlight w:val="none"/>
          <w:lang w:val="zh-CN"/>
        </w:rPr>
        <w:t>如遭遇不可抗力事件，遭遇不可抗力的一方应尽快以书面形式将不可抗力的情况和原因通知另一方，并</w:t>
      </w:r>
      <w:r>
        <w:rPr>
          <w:rFonts w:hint="eastAsia" w:ascii="宋体" w:hAnsi="宋体" w:cs="宋体"/>
          <w:color w:val="auto"/>
          <w:sz w:val="24"/>
          <w:highlight w:val="none"/>
        </w:rPr>
        <w:t>将有关部门出具的证明文件送达对方当事人，</w:t>
      </w:r>
      <w:r>
        <w:rPr>
          <w:rFonts w:hint="eastAsia" w:ascii="宋体" w:hAnsi="宋体"/>
          <w:bCs/>
          <w:color w:val="auto"/>
          <w:sz w:val="24"/>
          <w:highlight w:val="none"/>
          <w:lang w:val="zh-CN"/>
        </w:rPr>
        <w:t>积极采取措施防止损失扩大。因不可抗力造成的损失，甲乙双方按照法律规定处理；</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2.10.5 “</w:t>
      </w:r>
      <w:r>
        <w:rPr>
          <w:rFonts w:hint="eastAsia" w:ascii="宋体" w:hAnsi="宋体"/>
          <w:bCs/>
          <w:color w:val="auto"/>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560" w:lineRule="exact"/>
        <w:ind w:firstLine="482" w:firstLineChars="200"/>
        <w:rPr>
          <w:rFonts w:ascii="宋体" w:hAnsi="宋体" w:cs="宋体"/>
          <w:b/>
          <w:color w:val="auto"/>
          <w:sz w:val="24"/>
          <w:szCs w:val="24"/>
          <w:highlight w:val="none"/>
        </w:rPr>
      </w:pPr>
      <w:bookmarkStart w:id="128" w:name="_Toc3638"/>
      <w:bookmarkStart w:id="129" w:name="_Toc25783"/>
      <w:bookmarkStart w:id="130" w:name="_Toc279701255"/>
      <w:bookmarkStart w:id="131" w:name="_Toc487900365"/>
      <w:bookmarkStart w:id="132" w:name="_Toc24465"/>
      <w:bookmarkStart w:id="133" w:name="_Toc14115"/>
      <w:bookmarkStart w:id="134" w:name="_Toc259093684"/>
      <w:bookmarkStart w:id="135" w:name="_Toc23854"/>
      <w:r>
        <w:rPr>
          <w:rFonts w:hint="eastAsia" w:ascii="宋体" w:hAnsi="宋体" w:cs="宋体"/>
          <w:b/>
          <w:color w:val="auto"/>
          <w:sz w:val="24"/>
          <w:szCs w:val="24"/>
          <w:highlight w:val="none"/>
        </w:rPr>
        <w:t>2.11 税费</w:t>
      </w:r>
      <w:bookmarkEnd w:id="128"/>
      <w:bookmarkEnd w:id="129"/>
      <w:bookmarkEnd w:id="130"/>
      <w:bookmarkEnd w:id="131"/>
      <w:bookmarkEnd w:id="132"/>
      <w:bookmarkEnd w:id="133"/>
      <w:bookmarkEnd w:id="134"/>
      <w:bookmarkEnd w:id="135"/>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与合同有关的一切税费，均按照中华人民共和国法律的相关规定缴纳。</w:t>
      </w:r>
    </w:p>
    <w:p>
      <w:pPr>
        <w:spacing w:line="560" w:lineRule="exact"/>
        <w:ind w:firstLine="482" w:firstLineChars="200"/>
        <w:rPr>
          <w:rFonts w:ascii="宋体" w:hAnsi="宋体" w:cs="宋体"/>
          <w:b/>
          <w:color w:val="auto"/>
          <w:sz w:val="24"/>
          <w:szCs w:val="24"/>
          <w:highlight w:val="none"/>
        </w:rPr>
      </w:pPr>
      <w:bookmarkStart w:id="136" w:name="_Toc259093687"/>
      <w:bookmarkStart w:id="137" w:name="_Toc25525"/>
      <w:bookmarkStart w:id="138" w:name="_Toc7315"/>
      <w:bookmarkStart w:id="139" w:name="_Toc30105"/>
      <w:bookmarkStart w:id="140" w:name="_Toc14814"/>
      <w:bookmarkStart w:id="141" w:name="_Toc279701258"/>
      <w:bookmarkStart w:id="142" w:name="_Toc26883"/>
      <w:bookmarkStart w:id="143" w:name="_Toc487900368"/>
      <w:r>
        <w:rPr>
          <w:rFonts w:hint="eastAsia" w:ascii="宋体" w:hAnsi="宋体" w:cs="宋体"/>
          <w:b/>
          <w:color w:val="auto"/>
          <w:sz w:val="24"/>
          <w:szCs w:val="24"/>
          <w:highlight w:val="none"/>
        </w:rPr>
        <w:t>2.12 乙方破产</w:t>
      </w:r>
      <w:bookmarkEnd w:id="136"/>
      <w:bookmarkEnd w:id="137"/>
      <w:bookmarkEnd w:id="138"/>
      <w:bookmarkEnd w:id="139"/>
      <w:bookmarkEnd w:id="140"/>
      <w:bookmarkEnd w:id="141"/>
      <w:bookmarkEnd w:id="142"/>
      <w:bookmarkEnd w:id="143"/>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rPr>
          <w:rFonts w:ascii="宋体" w:hAnsi="宋体" w:cs="宋体"/>
          <w:b/>
          <w:color w:val="auto"/>
          <w:sz w:val="24"/>
          <w:szCs w:val="24"/>
          <w:highlight w:val="none"/>
        </w:rPr>
      </w:pPr>
      <w:bookmarkStart w:id="144" w:name="_Toc2016"/>
      <w:bookmarkStart w:id="145" w:name="_Toc23323"/>
      <w:bookmarkStart w:id="146" w:name="_Toc1123"/>
      <w:r>
        <w:rPr>
          <w:rFonts w:hint="eastAsia" w:ascii="宋体" w:hAnsi="宋体" w:cs="宋体"/>
          <w:b/>
          <w:color w:val="auto"/>
          <w:sz w:val="24"/>
          <w:szCs w:val="24"/>
          <w:highlight w:val="none"/>
        </w:rPr>
        <w:t>2.13 合同中止、终止</w:t>
      </w:r>
      <w:bookmarkEnd w:id="144"/>
      <w:bookmarkEnd w:id="145"/>
      <w:bookmarkEnd w:id="146"/>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2.13.1 双方当事人不得擅自中止或者终止合同；</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rPr>
          <w:rFonts w:ascii="宋体" w:hAnsi="宋体" w:cs="宋体"/>
          <w:b/>
          <w:color w:val="auto"/>
          <w:sz w:val="24"/>
          <w:szCs w:val="24"/>
          <w:highlight w:val="none"/>
        </w:rPr>
      </w:pPr>
      <w:bookmarkStart w:id="147" w:name="_Toc17363"/>
      <w:bookmarkStart w:id="148" w:name="_Toc1969"/>
      <w:bookmarkStart w:id="149" w:name="_Toc14525"/>
      <w:r>
        <w:rPr>
          <w:rFonts w:hint="eastAsia" w:ascii="宋体" w:hAnsi="宋体" w:cs="宋体"/>
          <w:b/>
          <w:color w:val="auto"/>
          <w:sz w:val="24"/>
          <w:szCs w:val="24"/>
          <w:highlight w:val="none"/>
        </w:rPr>
        <w:t>2.14 检验和验收</w:t>
      </w:r>
      <w:bookmarkEnd w:id="147"/>
      <w:bookmarkEnd w:id="148"/>
      <w:bookmarkEnd w:id="149"/>
    </w:p>
    <w:p>
      <w:pPr>
        <w:tabs>
          <w:tab w:val="left" w:pos="360"/>
          <w:tab w:val="left" w:pos="540"/>
          <w:tab w:val="left" w:pos="1080"/>
        </w:tabs>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2.14.1 乙方按照约定，定期提交服务报告，甲方定期进行验收；</w:t>
      </w:r>
    </w:p>
    <w:p>
      <w:pPr>
        <w:tabs>
          <w:tab w:val="left" w:pos="360"/>
          <w:tab w:val="left" w:pos="540"/>
          <w:tab w:val="left" w:pos="1080"/>
        </w:tabs>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2.14.2 合同期满或者履行完毕后，甲方有权组织（包括依法邀请国家认可的质量检测机构参加）对乙方履约的验收，即：按照合同约定的标准，组织对乙方履约情况的验收，并出具政府采购项目验收单；向社会公众提供的公共服务项目，验收时应当邀请服务对象参与并出具意见，验收结果应当向社会公告；</w:t>
      </w:r>
    </w:p>
    <w:bookmarkEnd w:id="111"/>
    <w:bookmarkEnd w:id="112"/>
    <w:bookmarkEnd w:id="113"/>
    <w:bookmarkEnd w:id="114"/>
    <w:p>
      <w:pPr>
        <w:spacing w:line="560" w:lineRule="exact"/>
        <w:ind w:firstLine="482" w:firstLineChars="200"/>
        <w:rPr>
          <w:rFonts w:ascii="宋体" w:hAnsi="宋体" w:cs="宋体"/>
          <w:b/>
          <w:color w:val="auto"/>
          <w:sz w:val="24"/>
          <w:szCs w:val="24"/>
          <w:highlight w:val="none"/>
        </w:rPr>
      </w:pPr>
      <w:bookmarkStart w:id="150" w:name="_Toc259093690"/>
      <w:bookmarkStart w:id="151" w:name="_Toc487900371"/>
      <w:bookmarkStart w:id="152" w:name="_Toc279701261"/>
      <w:bookmarkStart w:id="153" w:name="_Toc2308"/>
      <w:bookmarkStart w:id="154" w:name="_Toc12666"/>
      <w:bookmarkStart w:id="155" w:name="_Toc9808"/>
      <w:bookmarkStart w:id="156" w:name="_Toc31892"/>
      <w:bookmarkStart w:id="157" w:name="_Toc25198"/>
      <w:r>
        <w:rPr>
          <w:rFonts w:hint="eastAsia" w:ascii="宋体" w:hAnsi="宋体" w:cs="宋体"/>
          <w:b/>
          <w:color w:val="auto"/>
          <w:sz w:val="24"/>
          <w:szCs w:val="24"/>
          <w:highlight w:val="none"/>
        </w:rPr>
        <w:t>2.15 通知</w:t>
      </w:r>
      <w:bookmarkEnd w:id="150"/>
      <w:bookmarkEnd w:id="151"/>
      <w:bookmarkEnd w:id="152"/>
      <w:r>
        <w:rPr>
          <w:rFonts w:hint="eastAsia" w:ascii="宋体" w:hAnsi="宋体" w:cs="宋体"/>
          <w:b/>
          <w:color w:val="auto"/>
          <w:sz w:val="24"/>
          <w:szCs w:val="24"/>
          <w:highlight w:val="none"/>
        </w:rPr>
        <w:t>和送达</w:t>
      </w:r>
      <w:bookmarkEnd w:id="153"/>
      <w:bookmarkEnd w:id="154"/>
      <w:bookmarkEnd w:id="155"/>
      <w:bookmarkEnd w:id="156"/>
      <w:bookmarkEnd w:id="157"/>
    </w:p>
    <w:p>
      <w:pPr>
        <w:spacing w:line="560" w:lineRule="exact"/>
        <w:ind w:firstLine="480" w:firstLineChars="200"/>
        <w:rPr>
          <w:rFonts w:ascii="宋体" w:hAnsi="宋体" w:cs="宋体"/>
          <w:color w:val="auto"/>
          <w:sz w:val="24"/>
          <w:szCs w:val="24"/>
          <w:highlight w:val="none"/>
        </w:rPr>
      </w:pPr>
      <w:bookmarkStart w:id="158" w:name="_Toc29220"/>
      <w:bookmarkStart w:id="159" w:name="_Toc7073"/>
      <w:bookmarkStart w:id="160" w:name="_Toc487900372"/>
      <w:bookmarkStart w:id="161" w:name="_Toc259093691"/>
      <w:bookmarkStart w:id="162" w:name="_Toc279701262"/>
      <w:r>
        <w:rPr>
          <w:rFonts w:hint="eastAsia" w:ascii="宋体" w:hAnsi="宋体" w:cs="宋体"/>
          <w:color w:val="auto"/>
          <w:sz w:val="24"/>
          <w:szCs w:val="24"/>
          <w:highlight w:val="none"/>
        </w:rPr>
        <w:t>2.15.1 任何一方因履行合同而以合同第一部分尾部所列明的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发出的所有通知、文件、材料，均视为已向对方当事人送达；任何一方变更上述送达方式或者地址的，应于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个工作日内书面通知对方当事人，在对方当事人收到有关变更通知之前，变更前的约定送达方式或者地址仍视为有效。</w:t>
      </w:r>
      <w:bookmarkEnd w:id="158"/>
      <w:bookmarkEnd w:id="159"/>
    </w:p>
    <w:p>
      <w:pPr>
        <w:spacing w:line="560" w:lineRule="exact"/>
        <w:ind w:firstLine="480" w:firstLineChars="200"/>
        <w:rPr>
          <w:rFonts w:ascii="宋体" w:hAnsi="宋体" w:cs="宋体"/>
          <w:color w:val="auto"/>
          <w:sz w:val="24"/>
          <w:szCs w:val="24"/>
          <w:highlight w:val="none"/>
        </w:rPr>
      </w:pPr>
      <w:bookmarkStart w:id="163" w:name="_Toc18401"/>
      <w:bookmarkStart w:id="164" w:name="_Toc27674"/>
      <w:r>
        <w:rPr>
          <w:rFonts w:hint="eastAsia" w:ascii="宋体" w:hAnsi="宋体" w:cs="宋体"/>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3"/>
      <w:bookmarkEnd w:id="164"/>
    </w:p>
    <w:bookmarkEnd w:id="160"/>
    <w:bookmarkEnd w:id="161"/>
    <w:bookmarkEnd w:id="162"/>
    <w:p>
      <w:pPr>
        <w:spacing w:line="560" w:lineRule="exact"/>
        <w:ind w:firstLine="482" w:firstLineChars="200"/>
        <w:rPr>
          <w:rFonts w:ascii="宋体" w:hAnsi="宋体" w:cs="宋体"/>
          <w:b/>
          <w:color w:val="auto"/>
          <w:sz w:val="24"/>
          <w:szCs w:val="24"/>
          <w:highlight w:val="none"/>
        </w:rPr>
      </w:pPr>
      <w:bookmarkStart w:id="165" w:name="_Toc487900373"/>
      <w:bookmarkStart w:id="166" w:name="_Toc259093692"/>
      <w:bookmarkStart w:id="167" w:name="_Toc27644"/>
      <w:bookmarkStart w:id="168" w:name="_Toc20808"/>
      <w:bookmarkStart w:id="169" w:name="_Toc279701263"/>
      <w:bookmarkStart w:id="170" w:name="_Toc12254"/>
      <w:bookmarkStart w:id="171" w:name="_Toc28906"/>
      <w:bookmarkStart w:id="172" w:name="_Toc5063"/>
      <w:r>
        <w:rPr>
          <w:rFonts w:hint="eastAsia" w:ascii="宋体" w:hAnsi="宋体" w:cs="宋体"/>
          <w:b/>
          <w:color w:val="auto"/>
          <w:sz w:val="24"/>
          <w:szCs w:val="24"/>
          <w:highlight w:val="none"/>
        </w:rPr>
        <w:t>2.16 合同使用的文字和适用的法律</w:t>
      </w:r>
      <w:bookmarkEnd w:id="165"/>
      <w:bookmarkEnd w:id="166"/>
      <w:bookmarkEnd w:id="167"/>
      <w:bookmarkEnd w:id="168"/>
      <w:bookmarkEnd w:id="169"/>
      <w:bookmarkEnd w:id="170"/>
      <w:bookmarkEnd w:id="171"/>
      <w:bookmarkEnd w:id="172"/>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2.16.1 合同使用汉语书就、变更和解释；</w:t>
      </w:r>
    </w:p>
    <w:p>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2.16.2 合同适用中华人民共和国法律。</w:t>
      </w:r>
    </w:p>
    <w:p>
      <w:pPr>
        <w:spacing w:line="560" w:lineRule="exact"/>
        <w:ind w:firstLine="482" w:firstLineChars="200"/>
        <w:rPr>
          <w:rFonts w:ascii="宋体" w:hAnsi="宋体" w:cs="宋体"/>
          <w:b/>
          <w:color w:val="auto"/>
          <w:sz w:val="24"/>
          <w:szCs w:val="24"/>
          <w:highlight w:val="none"/>
        </w:rPr>
      </w:pPr>
      <w:bookmarkStart w:id="173" w:name="_Toc259093693"/>
      <w:bookmarkStart w:id="174" w:name="_Toc27127"/>
      <w:bookmarkStart w:id="175" w:name="_Toc279701264"/>
      <w:bookmarkStart w:id="176" w:name="_Toc22266"/>
      <w:bookmarkStart w:id="177" w:name="_Toc1492"/>
      <w:bookmarkStart w:id="178" w:name="_Toc30096"/>
      <w:bookmarkStart w:id="179" w:name="_Toc27403"/>
      <w:bookmarkStart w:id="180" w:name="_Toc487900374"/>
      <w:r>
        <w:rPr>
          <w:rFonts w:hint="eastAsia" w:ascii="宋体" w:hAnsi="宋体" w:cs="宋体"/>
          <w:b/>
          <w:color w:val="auto"/>
          <w:sz w:val="24"/>
          <w:szCs w:val="24"/>
          <w:highlight w:val="none"/>
        </w:rPr>
        <w:t>2.17 履约保证金</w:t>
      </w:r>
      <w:bookmarkEnd w:id="173"/>
      <w:bookmarkEnd w:id="174"/>
      <w:bookmarkEnd w:id="175"/>
      <w:bookmarkEnd w:id="176"/>
      <w:bookmarkEnd w:id="177"/>
      <w:bookmarkEnd w:id="178"/>
      <w:bookmarkEnd w:id="179"/>
    </w:p>
    <w:p>
      <w:pPr>
        <w:spacing w:line="56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szCs w:val="24"/>
          <w:highlight w:val="none"/>
        </w:rPr>
        <w:t xml:space="preserve">2.17.1 </w:t>
      </w:r>
      <w:bookmarkEnd w:id="180"/>
      <w:r>
        <w:rPr>
          <w:rFonts w:hint="eastAsia" w:ascii="宋体" w:hAnsi="宋体" w:cs="宋体"/>
          <w:color w:val="auto"/>
          <w:sz w:val="24"/>
          <w:szCs w:val="24"/>
          <w:highlight w:val="none"/>
          <w:lang w:val="en-US" w:eastAsia="zh-CN"/>
        </w:rPr>
        <w:t>本项目无需缴纳履约保证金。</w:t>
      </w:r>
    </w:p>
    <w:p>
      <w:pPr>
        <w:pStyle w:val="3"/>
        <w:keepNext/>
        <w:keepLines/>
        <w:pageBreakBefore/>
        <w:widowControl w:val="0"/>
        <w:kinsoku/>
        <w:wordWrap/>
        <w:overflowPunct/>
        <w:topLinePunct w:val="0"/>
        <w:autoSpaceDE/>
        <w:autoSpaceDN/>
        <w:bidi w:val="0"/>
        <w:adjustRightInd/>
        <w:snapToGrid/>
        <w:spacing w:after="120" w:line="360" w:lineRule="auto"/>
        <w:jc w:val="center"/>
        <w:textAlignment w:val="auto"/>
        <w:outlineLvl w:val="0"/>
        <w:rPr>
          <w:rFonts w:ascii="宋体" w:hAnsi="宋体" w:cs="宋体"/>
          <w:color w:val="auto"/>
          <w:sz w:val="30"/>
          <w:szCs w:val="30"/>
          <w:highlight w:val="none"/>
        </w:rPr>
      </w:pPr>
      <w:bookmarkStart w:id="181" w:name="_Toc419045098"/>
      <w:bookmarkStart w:id="182" w:name="_Toc56600445"/>
      <w:r>
        <w:rPr>
          <w:rFonts w:hint="eastAsia" w:ascii="宋体" w:hAnsi="宋体" w:cs="宋体"/>
          <w:color w:val="auto"/>
          <w:sz w:val="30"/>
          <w:szCs w:val="30"/>
          <w:highlight w:val="none"/>
        </w:rPr>
        <w:t>第三部分　专用条件</w:t>
      </w:r>
      <w:bookmarkEnd w:id="181"/>
      <w:bookmarkEnd w:id="182"/>
      <w:bookmarkStart w:id="183" w:name="45"/>
    </w:p>
    <w:bookmarkEnd w:id="183"/>
    <w:p>
      <w:pPr>
        <w:tabs>
          <w:tab w:val="left" w:pos="1260"/>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3.1甲方的权利</w:t>
      </w:r>
    </w:p>
    <w:p>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3.1.1要求乙方在规定的时间内协助甲方开展政府建设项目审计工作；</w:t>
      </w:r>
    </w:p>
    <w:p>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3.1.2对乙方下达投资审计的具体工作内容；</w:t>
      </w:r>
    </w:p>
    <w:p>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3.1.3根据审计业务规定要求及乙方的服务承诺和授权，对乙方协审人员进行管理、考核；</w:t>
      </w:r>
    </w:p>
    <w:p>
      <w:pPr>
        <w:tabs>
          <w:tab w:val="left" w:pos="126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3.1.4乙方在提供服务期内不得进行人员变更。如因特殊情况（如协审人员工作单位变动、患上无法按承诺时间履行职责的重大疾病等），则乙方应提供相应证明材料并取得甲方的同意后，在不低于原协审人员条件的情况下，进行人员替换。</w:t>
      </w:r>
    </w:p>
    <w:p>
      <w:pPr>
        <w:tabs>
          <w:tab w:val="left" w:pos="1260"/>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3.2甲方的义务</w:t>
      </w:r>
    </w:p>
    <w:p>
      <w:pPr>
        <w:tabs>
          <w:tab w:val="left" w:pos="126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3.2.1甲方为乙方提供必要的工作条件；</w:t>
      </w:r>
    </w:p>
    <w:p>
      <w:pPr>
        <w:tabs>
          <w:tab w:val="left" w:pos="126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3.2.2按照约定定期向乙方支付服务费用。</w:t>
      </w:r>
    </w:p>
    <w:p>
      <w:pPr>
        <w:tabs>
          <w:tab w:val="left" w:pos="1260"/>
        </w:tabs>
        <w:spacing w:line="360" w:lineRule="auto"/>
        <w:ind w:firstLine="482" w:firstLineChars="200"/>
        <w:rPr>
          <w:rFonts w:ascii="宋体" w:hAnsi="宋体" w:cs="宋体"/>
          <w:b/>
          <w:color w:val="auto"/>
          <w:sz w:val="24"/>
          <w:highlight w:val="none"/>
        </w:rPr>
      </w:pPr>
      <w:bookmarkStart w:id="184" w:name="a5"/>
      <w:r>
        <w:rPr>
          <w:rFonts w:hint="eastAsia" w:ascii="宋体" w:hAnsi="宋体" w:cs="宋体"/>
          <w:b/>
          <w:color w:val="auto"/>
          <w:sz w:val="24"/>
          <w:highlight w:val="none"/>
        </w:rPr>
        <w:t>3.3乙方的权利</w:t>
      </w:r>
    </w:p>
    <w:bookmarkEnd w:id="184"/>
    <w:p>
      <w:pPr>
        <w:tabs>
          <w:tab w:val="left" w:pos="126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3.3.1按时获取服务费；</w:t>
      </w:r>
    </w:p>
    <w:p>
      <w:pPr>
        <w:tabs>
          <w:tab w:val="left" w:pos="126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3.3.2拒绝</w:t>
      </w:r>
      <w:r>
        <w:rPr>
          <w:rFonts w:hint="eastAsia" w:ascii="宋体" w:hAnsi="宋体" w:cs="宋体"/>
          <w:color w:val="auto"/>
          <w:sz w:val="24"/>
          <w:highlight w:val="none"/>
          <w:lang w:val="zh-CN"/>
        </w:rPr>
        <w:t>甲方</w:t>
      </w:r>
      <w:r>
        <w:rPr>
          <w:rFonts w:hint="eastAsia" w:ascii="宋体" w:hAnsi="宋体" w:cs="宋体"/>
          <w:color w:val="auto"/>
          <w:sz w:val="24"/>
          <w:highlight w:val="none"/>
        </w:rPr>
        <w:t>提出的违法、违纪的服务要求。</w:t>
      </w:r>
    </w:p>
    <w:p>
      <w:pPr>
        <w:tabs>
          <w:tab w:val="left" w:pos="1260"/>
        </w:tabs>
        <w:spacing w:line="360" w:lineRule="auto"/>
        <w:ind w:firstLine="482" w:firstLineChars="200"/>
        <w:rPr>
          <w:rFonts w:ascii="宋体" w:hAnsi="宋体" w:cs="宋体"/>
          <w:b/>
          <w:color w:val="auto"/>
          <w:sz w:val="24"/>
          <w:highlight w:val="none"/>
        </w:rPr>
      </w:pPr>
      <w:bookmarkStart w:id="185" w:name="a6"/>
      <w:r>
        <w:rPr>
          <w:rFonts w:hint="eastAsia" w:ascii="宋体" w:hAnsi="宋体" w:cs="宋体"/>
          <w:b/>
          <w:color w:val="auto"/>
          <w:sz w:val="24"/>
          <w:highlight w:val="none"/>
        </w:rPr>
        <w:t>3.4乙方的义务</w:t>
      </w:r>
    </w:p>
    <w:bookmarkEnd w:id="185"/>
    <w:p>
      <w:pPr>
        <w:tabs>
          <w:tab w:val="left" w:pos="126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3.4.1按照承诺和甲方的要求，开展协审工作</w:t>
      </w:r>
    </w:p>
    <w:p>
      <w:pPr>
        <w:tabs>
          <w:tab w:val="left" w:pos="1260"/>
        </w:tabs>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本次</w:t>
      </w:r>
      <w:r>
        <w:rPr>
          <w:rFonts w:hint="eastAsia" w:ascii="宋体" w:hAnsi="宋体" w:cs="宋体"/>
          <w:color w:val="auto"/>
          <w:kern w:val="0"/>
          <w:sz w:val="24"/>
          <w:highlight w:val="none"/>
          <w:lang w:val="en-US" w:eastAsia="zh-CN"/>
        </w:rPr>
        <w:t>入围框架协议的</w:t>
      </w:r>
      <w:r>
        <w:rPr>
          <w:rFonts w:hint="eastAsia" w:ascii="宋体" w:hAnsi="宋体" w:cs="宋体"/>
          <w:color w:val="auto"/>
          <w:kern w:val="0"/>
          <w:sz w:val="24"/>
          <w:highlight w:val="none"/>
        </w:rPr>
        <w:t>服务主要人员为：</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3.4.2乙方必须</w:t>
      </w:r>
      <w:r>
        <w:rPr>
          <w:rFonts w:hint="eastAsia" w:ascii="宋体" w:hAnsi="宋体" w:cs="宋体"/>
          <w:color w:val="auto"/>
          <w:sz w:val="24"/>
          <w:highlight w:val="none"/>
        </w:rPr>
        <w:t>按时保质保量地完成本合同所约定的协审任务；</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3.4.3派驻甲方</w:t>
      </w:r>
      <w:r>
        <w:rPr>
          <w:rFonts w:hint="eastAsia" w:ascii="宋体" w:hAnsi="宋体" w:cs="宋体"/>
          <w:color w:val="auto"/>
          <w:sz w:val="24"/>
          <w:highlight w:val="none"/>
        </w:rPr>
        <w:t>或工程现场的人员的协审业务质量、安全等一切由乙方负责；</w:t>
      </w:r>
    </w:p>
    <w:p>
      <w:pPr>
        <w:tabs>
          <w:tab w:val="left" w:pos="1260"/>
        </w:tabs>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3.4.4</w:t>
      </w:r>
      <w:r>
        <w:rPr>
          <w:rFonts w:hint="eastAsia" w:ascii="宋体" w:hAnsi="宋体" w:cs="宋体"/>
          <w:color w:val="auto"/>
          <w:kern w:val="0"/>
          <w:sz w:val="24"/>
          <w:highlight w:val="none"/>
        </w:rPr>
        <w:t>乙方开展协审工作须</w:t>
      </w:r>
      <w:r>
        <w:rPr>
          <w:rFonts w:hint="eastAsia" w:ascii="宋体" w:hAnsi="宋体" w:cs="宋体"/>
          <w:color w:val="auto"/>
          <w:sz w:val="24"/>
          <w:highlight w:val="none"/>
        </w:rPr>
        <w:t>服从甲方的管理、考核</w:t>
      </w:r>
      <w:r>
        <w:rPr>
          <w:rFonts w:hint="eastAsia" w:ascii="宋体" w:hAnsi="宋体" w:cs="宋体"/>
          <w:color w:val="auto"/>
          <w:kern w:val="0"/>
          <w:sz w:val="24"/>
          <w:highlight w:val="none"/>
        </w:rPr>
        <w:t>及考核结果的运用；</w:t>
      </w:r>
    </w:p>
    <w:p>
      <w:pPr>
        <w:tabs>
          <w:tab w:val="left" w:pos="126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3.4.5乙方开展协审工作所需的交通运输、测量测绘、手机及相关APP软件、造价咨询软件等设备工具</w:t>
      </w:r>
      <w:r>
        <w:rPr>
          <w:rFonts w:hint="eastAsia" w:ascii="宋体" w:hAnsi="宋体" w:cs="宋体"/>
          <w:color w:val="auto"/>
          <w:sz w:val="24"/>
          <w:highlight w:val="none"/>
        </w:rPr>
        <w:t>由乙方负责。</w:t>
      </w:r>
    </w:p>
    <w:p>
      <w:pPr>
        <w:tabs>
          <w:tab w:val="left" w:pos="126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3.4.6乙方须为决算审计提供业务、技术等相关服务支持。</w:t>
      </w:r>
    </w:p>
    <w:p>
      <w:pPr>
        <w:pStyle w:val="24"/>
        <w:spacing w:line="360" w:lineRule="auto"/>
        <w:ind w:firstLine="482" w:firstLineChars="200"/>
        <w:jc w:val="left"/>
        <w:outlineLvl w:val="9"/>
        <w:rPr>
          <w:rFonts w:ascii="宋体" w:hAnsi="宋体" w:cs="宋体"/>
          <w:color w:val="auto"/>
          <w:highlight w:val="none"/>
        </w:rPr>
      </w:pPr>
      <w:bookmarkStart w:id="186" w:name="_Toc56600448"/>
      <w:bookmarkStart w:id="187" w:name="a7"/>
      <w:r>
        <w:rPr>
          <w:rFonts w:hint="eastAsia" w:ascii="宋体" w:hAnsi="宋体" w:cs="宋体"/>
          <w:color w:val="auto"/>
          <w:highlight w:val="none"/>
        </w:rPr>
        <w:t>3.5服务费支付</w:t>
      </w:r>
      <w:bookmarkEnd w:id="186"/>
    </w:p>
    <w:bookmarkEnd w:id="187"/>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根据《宜兴市政府建设项目审计费结算操作意见》执行。</w:t>
      </w:r>
    </w:p>
    <w:p>
      <w:pPr>
        <w:pStyle w:val="24"/>
        <w:spacing w:line="360" w:lineRule="auto"/>
        <w:ind w:firstLine="482" w:firstLineChars="200"/>
        <w:jc w:val="left"/>
        <w:outlineLvl w:val="9"/>
        <w:rPr>
          <w:rFonts w:ascii="宋体" w:hAnsi="宋体" w:cs="宋体"/>
          <w:color w:val="auto"/>
          <w:highlight w:val="none"/>
        </w:rPr>
      </w:pPr>
      <w:bookmarkStart w:id="188" w:name="_Toc56600449"/>
      <w:bookmarkStart w:id="189" w:name="a8"/>
      <w:r>
        <w:rPr>
          <w:rFonts w:hint="eastAsia" w:ascii="宋体" w:hAnsi="宋体" w:cs="宋体"/>
          <w:color w:val="auto"/>
          <w:highlight w:val="none"/>
        </w:rPr>
        <w:t>3.6违约责任</w:t>
      </w:r>
      <w:bookmarkEnd w:id="188"/>
    </w:p>
    <w:bookmarkEnd w:id="189"/>
    <w:p>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3.6.1甲方有以下情形之一的，乙方可以要求甲方支付违约金，直到解除本服务合同：</w:t>
      </w:r>
    </w:p>
    <w:p>
      <w:pPr>
        <w:tabs>
          <w:tab w:val="left" w:pos="1260"/>
        </w:tabs>
        <w:spacing w:line="360" w:lineRule="auto"/>
        <w:ind w:left="422"/>
        <w:rPr>
          <w:rFonts w:ascii="宋体" w:hAnsi="宋体" w:cs="宋体"/>
          <w:color w:val="auto"/>
          <w:sz w:val="24"/>
          <w:highlight w:val="none"/>
        </w:rPr>
      </w:pPr>
      <w:r>
        <w:rPr>
          <w:rFonts w:hint="eastAsia" w:ascii="宋体" w:hAnsi="宋体" w:cs="宋体"/>
          <w:color w:val="auto"/>
          <w:sz w:val="24"/>
          <w:highlight w:val="none"/>
        </w:rPr>
        <w:t>3.6.1.1未按规定按期支付服务费用的；</w:t>
      </w:r>
    </w:p>
    <w:p>
      <w:pPr>
        <w:tabs>
          <w:tab w:val="left" w:pos="1260"/>
        </w:tabs>
        <w:spacing w:line="360" w:lineRule="auto"/>
        <w:ind w:left="422"/>
        <w:rPr>
          <w:rFonts w:ascii="宋体" w:hAnsi="宋体" w:cs="宋体"/>
          <w:color w:val="auto"/>
          <w:sz w:val="24"/>
          <w:highlight w:val="none"/>
        </w:rPr>
      </w:pPr>
      <w:r>
        <w:rPr>
          <w:rFonts w:hint="eastAsia" w:ascii="宋体" w:hAnsi="宋体" w:cs="宋体"/>
          <w:color w:val="auto"/>
          <w:sz w:val="24"/>
          <w:highlight w:val="none"/>
        </w:rPr>
        <w:t>3.6.1.2对乙方安排违法违纪的工作，经协商仍坚持要求乙方执行的。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3.6.2乙方有下列情形之一的，甲方有权扣除乙方服务费用，直至解除本服务合同：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3.6.2.1</w:t>
      </w:r>
      <w:r>
        <w:rPr>
          <w:rFonts w:hint="eastAsia" w:ascii="宋体" w:hAnsi="宋体" w:cs="宋体"/>
          <w:color w:val="auto"/>
          <w:sz w:val="24"/>
          <w:szCs w:val="22"/>
          <w:highlight w:val="none"/>
        </w:rPr>
        <w:t>乙方未按照投标承诺在规定时间内派驻</w:t>
      </w:r>
      <w:r>
        <w:rPr>
          <w:rFonts w:hint="eastAsia" w:ascii="宋体" w:hAnsi="宋体" w:cs="宋体"/>
          <w:color w:val="auto"/>
          <w:sz w:val="24"/>
          <w:highlight w:val="none"/>
        </w:rPr>
        <w:t>协审人员，甲方有权扣除乙方服务费用；乙方超过甲方要求15天仍未派驻的，甲方将情况上报给宜兴市政府采购管理办公室核准后解除本服务合同。</w:t>
      </w:r>
    </w:p>
    <w:p>
      <w:pPr>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3.6.2.2</w:t>
      </w:r>
      <w:r>
        <w:rPr>
          <w:rFonts w:hint="eastAsia" w:ascii="宋体" w:hAnsi="宋体" w:cs="宋体"/>
          <w:color w:val="auto"/>
          <w:sz w:val="24"/>
          <w:szCs w:val="22"/>
          <w:highlight w:val="none"/>
        </w:rPr>
        <w:t>乙方未按照投标承诺落实协审措施和保障，未按照投标承诺开展工作的，甲方将情况上报给宜兴市政府采购管理办公室核准后解除本服务合同，同时通报本地行业主管部门及乙方注册地行业主管部门。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3.6.2.3</w:t>
      </w:r>
      <w:r>
        <w:rPr>
          <w:rFonts w:hint="eastAsia" w:ascii="宋体" w:hAnsi="宋体" w:cs="宋体"/>
          <w:color w:val="auto"/>
          <w:sz w:val="24"/>
          <w:szCs w:val="22"/>
          <w:highlight w:val="none"/>
        </w:rPr>
        <w:t>乙方私下承接与本项目有关的其他业务，或违反廉洁从审规定或其他法律法规的，由乙方自行退出合同，并接受甲方相应处理处罚</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szCs w:val="22"/>
          <w:highlight w:val="none"/>
        </w:rPr>
      </w:pPr>
      <w:r>
        <w:rPr>
          <w:rFonts w:hint="eastAsia" w:ascii="宋体" w:hAnsi="宋体" w:cs="宋体"/>
          <w:color w:val="auto"/>
          <w:sz w:val="24"/>
          <w:highlight w:val="none"/>
        </w:rPr>
        <w:t>3.6.2.4</w:t>
      </w:r>
      <w:r>
        <w:rPr>
          <w:rFonts w:hint="eastAsia" w:ascii="宋体" w:hAnsi="宋体" w:cs="宋体"/>
          <w:color w:val="auto"/>
          <w:sz w:val="24"/>
          <w:szCs w:val="22"/>
          <w:highlight w:val="none"/>
        </w:rPr>
        <w:t>乙方经协审考核不合格的，按照宜兴市政府建设项目协审考核办法处理；</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3.6.2.5</w:t>
      </w:r>
      <w:r>
        <w:rPr>
          <w:rFonts w:hint="eastAsia" w:ascii="宋体" w:hAnsi="宋体" w:eastAsia="宋体" w:cs="宋体"/>
          <w:color w:val="auto"/>
          <w:sz w:val="24"/>
          <w:highlight w:val="none"/>
          <w:u w:val="single"/>
        </w:rPr>
        <w:t>主审、助审人员原则上不得在协审期间更换。若更换的，被更换人员两年内不得参与宜兴市审计局协审服务招投标活动</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参与投标活动的，项目按废标处理。除重大疾病、辞职、退休等情况之外，更换协审人员扣减该项目协审费用3%/次。更换人员不低于本次采购项目的所有加分项要求，否则不予更换。</w:t>
      </w:r>
    </w:p>
    <w:p>
      <w:pPr>
        <w:spacing w:line="360" w:lineRule="auto"/>
        <w:ind w:firstLine="480" w:firstLineChars="200"/>
        <w:rPr>
          <w:color w:val="auto"/>
          <w:highlight w:val="none"/>
        </w:rPr>
      </w:pPr>
      <w:r>
        <w:rPr>
          <w:rFonts w:hint="eastAsia" w:ascii="宋体" w:hAnsi="宋体" w:eastAsia="宋体" w:cs="宋体"/>
          <w:color w:val="auto"/>
          <w:sz w:val="24"/>
          <w:highlight w:val="none"/>
          <w:u w:val="single"/>
        </w:rPr>
        <w:t>3.6.2.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本项目施行实名制管理，开展造价咨询人员实名制考勤，并按照《宜兴市政府建设项目协审工作考核办法》进行考核，人员到位考核扣分达到30分，取消该供应商的承接资格，由下一名具备承接资格的候选供应商依次替补。</w:t>
      </w:r>
    </w:p>
    <w:p>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乙方其它不履行服务承诺行为的。</w:t>
      </w:r>
    </w:p>
    <w:p>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如乙方违法，甲方将依据《中华人民共和国政府采购法》第七十七条规定，将行为上报至财政监管部门，由监管部门视情况作出相应处罚，处罚结果公示于中国政府采购网。</w:t>
      </w:r>
    </w:p>
    <w:p>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3.6.3如本次招标项目因非甲方原因取消未实施，本合同自动作废，甲方不作补偿。</w:t>
      </w:r>
    </w:p>
    <w:p>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3.6.4如本次招标项目因工程进度延迟，超出原计划工期，本合同服务期限同步顺延，甲方不作补偿。</w:t>
      </w:r>
    </w:p>
    <w:p>
      <w:pPr>
        <w:pStyle w:val="24"/>
        <w:spacing w:line="360" w:lineRule="auto"/>
        <w:ind w:firstLine="482" w:firstLineChars="200"/>
        <w:jc w:val="left"/>
        <w:outlineLvl w:val="9"/>
        <w:rPr>
          <w:rFonts w:ascii="宋体" w:hAnsi="宋体" w:cs="宋体"/>
          <w:color w:val="auto"/>
          <w:highlight w:val="none"/>
        </w:rPr>
      </w:pPr>
      <w:bookmarkStart w:id="190" w:name="_Toc56600450"/>
      <w:bookmarkStart w:id="191" w:name="a9"/>
      <w:r>
        <w:rPr>
          <w:rFonts w:hint="eastAsia" w:ascii="宋体" w:hAnsi="宋体" w:cs="宋体"/>
          <w:color w:val="auto"/>
          <w:highlight w:val="none"/>
        </w:rPr>
        <w:t>3.7合同有效期</w:t>
      </w:r>
      <w:bookmarkEnd w:id="190"/>
    </w:p>
    <w:bookmarkEnd w:id="191"/>
    <w:p>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w:t>
      </w:r>
      <w:r>
        <w:rPr>
          <w:rFonts w:hint="eastAsia" w:ascii="宋体" w:hAnsi="宋体" w:cs="宋体"/>
          <w:color w:val="auto"/>
          <w:sz w:val="24"/>
          <w:highlight w:val="none"/>
          <w:lang w:val="zh-CN"/>
        </w:rPr>
        <w:t>.1自合同签订之日起</w:t>
      </w:r>
      <w:r>
        <w:rPr>
          <w:rFonts w:hint="eastAsia" w:ascii="宋体" w:hAnsi="宋体" w:cs="宋体"/>
          <w:color w:val="auto"/>
          <w:sz w:val="24"/>
          <w:highlight w:val="none"/>
        </w:rPr>
        <w:t>至</w:t>
      </w:r>
      <w:r>
        <w:rPr>
          <w:rFonts w:hint="eastAsia" w:ascii="宋体" w:hAnsi="宋体" w:cs="宋体"/>
          <w:color w:val="auto"/>
          <w:sz w:val="24"/>
          <w:highlight w:val="none"/>
          <w:lang w:val="en-US" w:eastAsia="zh-CN"/>
        </w:rPr>
        <w:t>XXXXXXXXXXXX</w:t>
      </w:r>
      <w:r>
        <w:rPr>
          <w:rFonts w:hint="eastAsia" w:ascii="宋体" w:hAnsi="宋体" w:cs="宋体"/>
          <w:color w:val="auto"/>
          <w:sz w:val="24"/>
          <w:highlight w:val="none"/>
          <w:lang w:val="zh-CN"/>
        </w:rPr>
        <w:t>有效</w:t>
      </w:r>
      <w:r>
        <w:rPr>
          <w:rFonts w:hint="eastAsia" w:ascii="宋体" w:hAnsi="宋体" w:cs="宋体"/>
          <w:color w:val="auto"/>
          <w:sz w:val="24"/>
          <w:highlight w:val="none"/>
        </w:rPr>
        <w:t xml:space="preserve">。 </w:t>
      </w:r>
    </w:p>
    <w:p>
      <w:pPr>
        <w:pStyle w:val="2"/>
        <w:spacing w:line="360" w:lineRule="auto"/>
        <w:ind w:firstLine="480" w:firstLineChars="200"/>
        <w:rPr>
          <w:rFonts w:hint="eastAsia" w:ascii="宋体" w:hAnsi="宋体"/>
          <w:b/>
          <w:bCs/>
          <w:color w:val="auto"/>
          <w:sz w:val="24"/>
          <w:szCs w:val="24"/>
          <w:highlight w:val="none"/>
          <w:lang w:val="en-US" w:eastAsia="zh-CN"/>
        </w:rPr>
      </w:pPr>
      <w:r>
        <w:rPr>
          <w:rFonts w:hint="eastAsia" w:ascii="宋体" w:hAnsi="宋体" w:cs="宋体"/>
          <w:color w:val="auto"/>
          <w:sz w:val="24"/>
          <w:highlight w:val="none"/>
        </w:rPr>
        <w:t>3.7.2合同到期或解除后，甲乙双方均有义务进行资料交接工作。</w:t>
      </w:r>
    </w:p>
    <w:p>
      <w:pPr>
        <w:pStyle w:val="2"/>
        <w:spacing w:line="360" w:lineRule="auto"/>
        <w:rPr>
          <w:rFonts w:hint="eastAsia" w:ascii="宋体" w:hAnsi="宋体"/>
          <w:b/>
          <w:bCs/>
          <w:color w:val="auto"/>
          <w:sz w:val="24"/>
          <w:szCs w:val="24"/>
          <w:highlight w:val="none"/>
          <w:lang w:val="en-US" w:eastAsia="zh-CN"/>
        </w:rPr>
      </w:pPr>
    </w:p>
    <w:p>
      <w:pPr>
        <w:pStyle w:val="2"/>
        <w:jc w:val="right"/>
        <w:rPr>
          <w:rFonts w:hint="eastAsia" w:ascii="宋体" w:hAnsi="宋体"/>
          <w:b/>
          <w:bCs/>
          <w:color w:val="auto"/>
          <w:sz w:val="24"/>
          <w:szCs w:val="24"/>
          <w:highlight w:val="none"/>
          <w:lang w:val="en-US" w:eastAsia="zh-CN"/>
        </w:rPr>
      </w:pPr>
    </w:p>
    <w:p>
      <w:pPr>
        <w:pStyle w:val="2"/>
        <w:jc w:val="right"/>
        <w:rPr>
          <w:rFonts w:hint="eastAsia" w:ascii="宋体" w:hAnsi="宋体"/>
          <w:b/>
          <w:bCs/>
          <w:color w:val="auto"/>
          <w:sz w:val="24"/>
          <w:szCs w:val="24"/>
          <w:highlight w:val="none"/>
          <w:lang w:val="en-US" w:eastAsia="zh-CN"/>
        </w:rPr>
      </w:pPr>
    </w:p>
    <w:sectPr>
      <w:footerReference r:id="rId3" w:type="default"/>
      <w:pgSz w:w="11906" w:h="16838"/>
      <w:pgMar w:top="1100" w:right="1066" w:bottom="1100" w:left="10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3C004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文本框 3075" o:spid="_x0000_s4098"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ipFLs0AAAAAMBAAAPAAAAAAAAAAEAIAAAACIAAABkcnMv&#10;ZG93bnJldi54bWxQSwECFAAUAAAACACHTuJAhwZsYAsCAAAFBAAADgAAAAAAAAABACAAAAAfAQAA&#10;ZHJzL2Uyb0RvYy54bWxQSwUGAAAAAAYABgBZAQAAnAUAAAAA&#10;">
          <v:path/>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27198"/>
    <w:multiLevelType w:val="singleLevel"/>
    <w:tmpl w:val="82827198"/>
    <w:lvl w:ilvl="0" w:tentative="0">
      <w:start w:val="1"/>
      <w:numFmt w:val="decimal"/>
      <w:lvlText w:val="%1."/>
      <w:lvlJc w:val="left"/>
      <w:pPr>
        <w:tabs>
          <w:tab w:val="left" w:pos="312"/>
        </w:tabs>
      </w:pPr>
    </w:lvl>
  </w:abstractNum>
  <w:abstractNum w:abstractNumId="1">
    <w:nsid w:val="AADDACB2"/>
    <w:multiLevelType w:val="singleLevel"/>
    <w:tmpl w:val="AADDACB2"/>
    <w:lvl w:ilvl="0" w:tentative="0">
      <w:start w:val="2"/>
      <w:numFmt w:val="decimal"/>
      <w:suff w:val="nothing"/>
      <w:lvlText w:val="%1、"/>
      <w:lvlJc w:val="left"/>
    </w:lvl>
  </w:abstractNum>
  <w:abstractNum w:abstractNumId="2">
    <w:nsid w:val="B126A2A5"/>
    <w:multiLevelType w:val="singleLevel"/>
    <w:tmpl w:val="B126A2A5"/>
    <w:lvl w:ilvl="0" w:tentative="0">
      <w:start w:val="1"/>
      <w:numFmt w:val="decimal"/>
      <w:lvlText w:val="%1."/>
      <w:lvlJc w:val="left"/>
      <w:pPr>
        <w:tabs>
          <w:tab w:val="left" w:pos="312"/>
        </w:tabs>
      </w:pPr>
    </w:lvl>
  </w:abstractNum>
  <w:abstractNum w:abstractNumId="3">
    <w:nsid w:val="D6DC7B6A"/>
    <w:multiLevelType w:val="singleLevel"/>
    <w:tmpl w:val="D6DC7B6A"/>
    <w:lvl w:ilvl="0" w:tentative="0">
      <w:start w:val="8"/>
      <w:numFmt w:val="decimal"/>
      <w:suff w:val="nothing"/>
      <w:lvlText w:val="%1、"/>
      <w:lvlJc w:val="left"/>
    </w:lvl>
  </w:abstractNum>
  <w:abstractNum w:abstractNumId="4">
    <w:nsid w:val="4AB93273"/>
    <w:multiLevelType w:val="singleLevel"/>
    <w:tmpl w:val="4AB93273"/>
    <w:lvl w:ilvl="0" w:tentative="0">
      <w:start w:val="3"/>
      <w:numFmt w:val="decimal"/>
      <w:suff w:val="nothing"/>
      <w:lvlText w:val="%1、"/>
      <w:lvlJc w:val="left"/>
    </w:lvl>
  </w:abstractNum>
  <w:abstractNum w:abstractNumId="5">
    <w:nsid w:val="6BCF4BF5"/>
    <w:multiLevelType w:val="singleLevel"/>
    <w:tmpl w:val="6BCF4BF5"/>
    <w:lvl w:ilvl="0" w:tentative="0">
      <w:start w:val="1"/>
      <w:numFmt w:val="bullet"/>
      <w:lvlText w:val=""/>
      <w:lvlJc w:val="left"/>
      <w:pPr>
        <w:ind w:left="420" w:hanging="420"/>
      </w:pPr>
      <w:rPr>
        <w:rFonts w:hint="default" w:ascii="Wingdings" w:hAnsi="Wingdings"/>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JmYThlMGQ2ZjJmYzYzZjNhYzZhMDM3NGFhZGZmY2IifQ=="/>
  </w:docVars>
  <w:rsids>
    <w:rsidRoot w:val="00162E69"/>
    <w:rsid w:val="00010F0E"/>
    <w:rsid w:val="00013BB5"/>
    <w:rsid w:val="000174E3"/>
    <w:rsid w:val="0008683E"/>
    <w:rsid w:val="0009116D"/>
    <w:rsid w:val="0009152D"/>
    <w:rsid w:val="000B16BD"/>
    <w:rsid w:val="00130F9C"/>
    <w:rsid w:val="00153D74"/>
    <w:rsid w:val="00157040"/>
    <w:rsid w:val="00162E69"/>
    <w:rsid w:val="00173FAB"/>
    <w:rsid w:val="001C697A"/>
    <w:rsid w:val="00207EAD"/>
    <w:rsid w:val="00210A1E"/>
    <w:rsid w:val="00227EFF"/>
    <w:rsid w:val="00235084"/>
    <w:rsid w:val="002551C7"/>
    <w:rsid w:val="00267D0D"/>
    <w:rsid w:val="00282F0C"/>
    <w:rsid w:val="002874AB"/>
    <w:rsid w:val="00295694"/>
    <w:rsid w:val="0029686A"/>
    <w:rsid w:val="002C14C4"/>
    <w:rsid w:val="002D6BA8"/>
    <w:rsid w:val="002E1D83"/>
    <w:rsid w:val="002F35E9"/>
    <w:rsid w:val="002F3B10"/>
    <w:rsid w:val="002F3CC2"/>
    <w:rsid w:val="00316BE0"/>
    <w:rsid w:val="00334158"/>
    <w:rsid w:val="00361D02"/>
    <w:rsid w:val="00362AC7"/>
    <w:rsid w:val="003A0171"/>
    <w:rsid w:val="003A2435"/>
    <w:rsid w:val="003C6AD4"/>
    <w:rsid w:val="003F701A"/>
    <w:rsid w:val="00414D6B"/>
    <w:rsid w:val="00443207"/>
    <w:rsid w:val="004A5780"/>
    <w:rsid w:val="004C20B5"/>
    <w:rsid w:val="004D66D3"/>
    <w:rsid w:val="004E02AE"/>
    <w:rsid w:val="004F5C7B"/>
    <w:rsid w:val="004F7271"/>
    <w:rsid w:val="005002F7"/>
    <w:rsid w:val="00504026"/>
    <w:rsid w:val="00516954"/>
    <w:rsid w:val="00567EB5"/>
    <w:rsid w:val="00594613"/>
    <w:rsid w:val="005A0FBB"/>
    <w:rsid w:val="005A3AB2"/>
    <w:rsid w:val="005A5A2E"/>
    <w:rsid w:val="005B097D"/>
    <w:rsid w:val="00651629"/>
    <w:rsid w:val="00676608"/>
    <w:rsid w:val="00695545"/>
    <w:rsid w:val="006C3554"/>
    <w:rsid w:val="006D229D"/>
    <w:rsid w:val="006D6FCF"/>
    <w:rsid w:val="006F11F3"/>
    <w:rsid w:val="00714900"/>
    <w:rsid w:val="007B6AE9"/>
    <w:rsid w:val="007E1CE4"/>
    <w:rsid w:val="007F282B"/>
    <w:rsid w:val="0081314C"/>
    <w:rsid w:val="00820655"/>
    <w:rsid w:val="008539B5"/>
    <w:rsid w:val="008974A1"/>
    <w:rsid w:val="008D625C"/>
    <w:rsid w:val="008F636A"/>
    <w:rsid w:val="00907171"/>
    <w:rsid w:val="009205AD"/>
    <w:rsid w:val="00931585"/>
    <w:rsid w:val="0095715D"/>
    <w:rsid w:val="009612A2"/>
    <w:rsid w:val="009647DC"/>
    <w:rsid w:val="009955F5"/>
    <w:rsid w:val="009C065D"/>
    <w:rsid w:val="009D2903"/>
    <w:rsid w:val="009F69B2"/>
    <w:rsid w:val="00A02C4C"/>
    <w:rsid w:val="00A231CF"/>
    <w:rsid w:val="00A30B24"/>
    <w:rsid w:val="00A670CA"/>
    <w:rsid w:val="00A7419F"/>
    <w:rsid w:val="00AB1EE2"/>
    <w:rsid w:val="00AE210B"/>
    <w:rsid w:val="00B20EBE"/>
    <w:rsid w:val="00B24C27"/>
    <w:rsid w:val="00B34955"/>
    <w:rsid w:val="00B41126"/>
    <w:rsid w:val="00B414A0"/>
    <w:rsid w:val="00B749E0"/>
    <w:rsid w:val="00B760D1"/>
    <w:rsid w:val="00BB37D6"/>
    <w:rsid w:val="00BC25FF"/>
    <w:rsid w:val="00BC72DC"/>
    <w:rsid w:val="00BD4793"/>
    <w:rsid w:val="00BF35B0"/>
    <w:rsid w:val="00BF7829"/>
    <w:rsid w:val="00C01134"/>
    <w:rsid w:val="00C13998"/>
    <w:rsid w:val="00C41669"/>
    <w:rsid w:val="00C90F59"/>
    <w:rsid w:val="00C95A40"/>
    <w:rsid w:val="00CF612D"/>
    <w:rsid w:val="00CF69DB"/>
    <w:rsid w:val="00D32D6E"/>
    <w:rsid w:val="00D44A2C"/>
    <w:rsid w:val="00D46B5A"/>
    <w:rsid w:val="00D53567"/>
    <w:rsid w:val="00D74591"/>
    <w:rsid w:val="00E007F0"/>
    <w:rsid w:val="00E015A7"/>
    <w:rsid w:val="00E017AB"/>
    <w:rsid w:val="00E05495"/>
    <w:rsid w:val="00E17A7A"/>
    <w:rsid w:val="00E24FD1"/>
    <w:rsid w:val="00E425AC"/>
    <w:rsid w:val="00E47319"/>
    <w:rsid w:val="00E65192"/>
    <w:rsid w:val="00EB216E"/>
    <w:rsid w:val="00F54668"/>
    <w:rsid w:val="00F859D8"/>
    <w:rsid w:val="00F85B2E"/>
    <w:rsid w:val="00F922E5"/>
    <w:rsid w:val="00F9488C"/>
    <w:rsid w:val="00FA5C0D"/>
    <w:rsid w:val="00FB32C9"/>
    <w:rsid w:val="00FD27C7"/>
    <w:rsid w:val="01105345"/>
    <w:rsid w:val="01273BB3"/>
    <w:rsid w:val="01614D19"/>
    <w:rsid w:val="017D756B"/>
    <w:rsid w:val="018E3B4B"/>
    <w:rsid w:val="01C51499"/>
    <w:rsid w:val="024A5484"/>
    <w:rsid w:val="024E0055"/>
    <w:rsid w:val="02530DB1"/>
    <w:rsid w:val="027942E1"/>
    <w:rsid w:val="02903C5B"/>
    <w:rsid w:val="02BB57CD"/>
    <w:rsid w:val="032F4556"/>
    <w:rsid w:val="035E14CF"/>
    <w:rsid w:val="03D375E7"/>
    <w:rsid w:val="03DB43EE"/>
    <w:rsid w:val="04B66E21"/>
    <w:rsid w:val="04B74C29"/>
    <w:rsid w:val="05400E23"/>
    <w:rsid w:val="05D9066C"/>
    <w:rsid w:val="0686369D"/>
    <w:rsid w:val="06A03C0D"/>
    <w:rsid w:val="06AF5581"/>
    <w:rsid w:val="06CB0DA5"/>
    <w:rsid w:val="06DB5C26"/>
    <w:rsid w:val="06E429F6"/>
    <w:rsid w:val="09287987"/>
    <w:rsid w:val="093D4F47"/>
    <w:rsid w:val="094C5B45"/>
    <w:rsid w:val="096612AA"/>
    <w:rsid w:val="097B066D"/>
    <w:rsid w:val="0A3C574C"/>
    <w:rsid w:val="0A4B5BD5"/>
    <w:rsid w:val="0A6817D5"/>
    <w:rsid w:val="0A88537E"/>
    <w:rsid w:val="0B221C1F"/>
    <w:rsid w:val="0B540EFD"/>
    <w:rsid w:val="0C1C3C67"/>
    <w:rsid w:val="0C651D1C"/>
    <w:rsid w:val="0C7065C0"/>
    <w:rsid w:val="0CA7000C"/>
    <w:rsid w:val="0CD50F6F"/>
    <w:rsid w:val="0D0863AC"/>
    <w:rsid w:val="0D5109BA"/>
    <w:rsid w:val="0D673859"/>
    <w:rsid w:val="0DD94171"/>
    <w:rsid w:val="0E31575E"/>
    <w:rsid w:val="0E4F0975"/>
    <w:rsid w:val="0E91001E"/>
    <w:rsid w:val="0EE0182F"/>
    <w:rsid w:val="0EE9329E"/>
    <w:rsid w:val="0EFA46E1"/>
    <w:rsid w:val="0F0201C6"/>
    <w:rsid w:val="0F04330D"/>
    <w:rsid w:val="0F1C53C8"/>
    <w:rsid w:val="0F8E5396"/>
    <w:rsid w:val="0FA41926"/>
    <w:rsid w:val="10376EDF"/>
    <w:rsid w:val="108B6B46"/>
    <w:rsid w:val="1167027B"/>
    <w:rsid w:val="116F328A"/>
    <w:rsid w:val="125F6F33"/>
    <w:rsid w:val="12B7360C"/>
    <w:rsid w:val="12B834A8"/>
    <w:rsid w:val="12CD2C28"/>
    <w:rsid w:val="137E59A4"/>
    <w:rsid w:val="13EE191E"/>
    <w:rsid w:val="142941EF"/>
    <w:rsid w:val="143A5CCC"/>
    <w:rsid w:val="14452BB4"/>
    <w:rsid w:val="145D3CCF"/>
    <w:rsid w:val="147B59A6"/>
    <w:rsid w:val="149E3D81"/>
    <w:rsid w:val="14C217C4"/>
    <w:rsid w:val="152440FE"/>
    <w:rsid w:val="15597920"/>
    <w:rsid w:val="157074A0"/>
    <w:rsid w:val="15925D55"/>
    <w:rsid w:val="162655A9"/>
    <w:rsid w:val="16AC415D"/>
    <w:rsid w:val="16E05039"/>
    <w:rsid w:val="171B43C9"/>
    <w:rsid w:val="180A549C"/>
    <w:rsid w:val="186E75B1"/>
    <w:rsid w:val="18A71B57"/>
    <w:rsid w:val="18C41929"/>
    <w:rsid w:val="18DE00A1"/>
    <w:rsid w:val="191838BE"/>
    <w:rsid w:val="192C1E7E"/>
    <w:rsid w:val="192C753C"/>
    <w:rsid w:val="193E3660"/>
    <w:rsid w:val="194F6074"/>
    <w:rsid w:val="19A30BF7"/>
    <w:rsid w:val="19DE1C65"/>
    <w:rsid w:val="1AA61FD0"/>
    <w:rsid w:val="1AD0724C"/>
    <w:rsid w:val="1B265BBC"/>
    <w:rsid w:val="1BA70C56"/>
    <w:rsid w:val="1BD65CAD"/>
    <w:rsid w:val="1BE01003"/>
    <w:rsid w:val="1C0A331B"/>
    <w:rsid w:val="1C661B92"/>
    <w:rsid w:val="1C7D7AAA"/>
    <w:rsid w:val="1C7F0C6F"/>
    <w:rsid w:val="1C9E4975"/>
    <w:rsid w:val="1CCE124A"/>
    <w:rsid w:val="1CF532B5"/>
    <w:rsid w:val="1CFA7E2B"/>
    <w:rsid w:val="1D122DD2"/>
    <w:rsid w:val="1D6A421C"/>
    <w:rsid w:val="1D755066"/>
    <w:rsid w:val="1D9527CA"/>
    <w:rsid w:val="1DDC1EF4"/>
    <w:rsid w:val="1E0304F7"/>
    <w:rsid w:val="1E4F3A2A"/>
    <w:rsid w:val="1E6F1017"/>
    <w:rsid w:val="1E8572E3"/>
    <w:rsid w:val="1E8B466B"/>
    <w:rsid w:val="1F2D76AA"/>
    <w:rsid w:val="1F527475"/>
    <w:rsid w:val="1FDD50B4"/>
    <w:rsid w:val="1FEB4EE7"/>
    <w:rsid w:val="200A4779"/>
    <w:rsid w:val="201E3F1D"/>
    <w:rsid w:val="203E687D"/>
    <w:rsid w:val="20687236"/>
    <w:rsid w:val="20743F84"/>
    <w:rsid w:val="20840175"/>
    <w:rsid w:val="209851F4"/>
    <w:rsid w:val="20A9202A"/>
    <w:rsid w:val="21097C5E"/>
    <w:rsid w:val="21783AF4"/>
    <w:rsid w:val="21AD6F79"/>
    <w:rsid w:val="21AF4947"/>
    <w:rsid w:val="21C742FB"/>
    <w:rsid w:val="21DA51AE"/>
    <w:rsid w:val="21DD3AFB"/>
    <w:rsid w:val="220E522B"/>
    <w:rsid w:val="22153B9B"/>
    <w:rsid w:val="22153E65"/>
    <w:rsid w:val="22BC4733"/>
    <w:rsid w:val="22CC79A2"/>
    <w:rsid w:val="22DD0772"/>
    <w:rsid w:val="22E86DD5"/>
    <w:rsid w:val="23157F33"/>
    <w:rsid w:val="23563402"/>
    <w:rsid w:val="23B74369"/>
    <w:rsid w:val="2421281F"/>
    <w:rsid w:val="24242165"/>
    <w:rsid w:val="2456024F"/>
    <w:rsid w:val="24886262"/>
    <w:rsid w:val="24EF01C5"/>
    <w:rsid w:val="24F83A3F"/>
    <w:rsid w:val="25106DE4"/>
    <w:rsid w:val="251E0D53"/>
    <w:rsid w:val="253E4E26"/>
    <w:rsid w:val="258F38CE"/>
    <w:rsid w:val="2620469B"/>
    <w:rsid w:val="263621EC"/>
    <w:rsid w:val="26BB413B"/>
    <w:rsid w:val="270D0295"/>
    <w:rsid w:val="275C61B3"/>
    <w:rsid w:val="280901BC"/>
    <w:rsid w:val="280A7C01"/>
    <w:rsid w:val="28172443"/>
    <w:rsid w:val="28192BA8"/>
    <w:rsid w:val="281B7E6A"/>
    <w:rsid w:val="281E34C8"/>
    <w:rsid w:val="28471574"/>
    <w:rsid w:val="2856752B"/>
    <w:rsid w:val="28D112BD"/>
    <w:rsid w:val="2939062D"/>
    <w:rsid w:val="29A5732B"/>
    <w:rsid w:val="29BE667B"/>
    <w:rsid w:val="2A5241B2"/>
    <w:rsid w:val="2B6E5171"/>
    <w:rsid w:val="2B757A8F"/>
    <w:rsid w:val="2BB44733"/>
    <w:rsid w:val="2BEB02D5"/>
    <w:rsid w:val="2BF460B6"/>
    <w:rsid w:val="2C396ED9"/>
    <w:rsid w:val="2C422975"/>
    <w:rsid w:val="2C651040"/>
    <w:rsid w:val="2CC824D9"/>
    <w:rsid w:val="2CCA5554"/>
    <w:rsid w:val="2D087C44"/>
    <w:rsid w:val="2D3F1BAA"/>
    <w:rsid w:val="2D4A1949"/>
    <w:rsid w:val="2D9F1813"/>
    <w:rsid w:val="2E1B6713"/>
    <w:rsid w:val="2E4D502D"/>
    <w:rsid w:val="2EA01057"/>
    <w:rsid w:val="2ED75591"/>
    <w:rsid w:val="2F3B1961"/>
    <w:rsid w:val="2F63011E"/>
    <w:rsid w:val="2FED6060"/>
    <w:rsid w:val="3044782D"/>
    <w:rsid w:val="306A132E"/>
    <w:rsid w:val="30755D76"/>
    <w:rsid w:val="307608C8"/>
    <w:rsid w:val="3079081E"/>
    <w:rsid w:val="309B3DA9"/>
    <w:rsid w:val="314B0D70"/>
    <w:rsid w:val="317A7DCD"/>
    <w:rsid w:val="31CF10A4"/>
    <w:rsid w:val="32032194"/>
    <w:rsid w:val="326C4F06"/>
    <w:rsid w:val="326D032E"/>
    <w:rsid w:val="3283428D"/>
    <w:rsid w:val="329B2A40"/>
    <w:rsid w:val="32E10062"/>
    <w:rsid w:val="33332A86"/>
    <w:rsid w:val="33970E36"/>
    <w:rsid w:val="344565E7"/>
    <w:rsid w:val="345B2201"/>
    <w:rsid w:val="346F2C37"/>
    <w:rsid w:val="34CE5868"/>
    <w:rsid w:val="34EC4496"/>
    <w:rsid w:val="350C3CBC"/>
    <w:rsid w:val="35244743"/>
    <w:rsid w:val="3539135E"/>
    <w:rsid w:val="35393335"/>
    <w:rsid w:val="355A2C3B"/>
    <w:rsid w:val="35B35927"/>
    <w:rsid w:val="35F91AF5"/>
    <w:rsid w:val="360C3482"/>
    <w:rsid w:val="364A3C5A"/>
    <w:rsid w:val="364C6C06"/>
    <w:rsid w:val="36564E62"/>
    <w:rsid w:val="36A51CCA"/>
    <w:rsid w:val="36DD32A2"/>
    <w:rsid w:val="36F80826"/>
    <w:rsid w:val="374101FF"/>
    <w:rsid w:val="37563B53"/>
    <w:rsid w:val="37672C5E"/>
    <w:rsid w:val="37A2507D"/>
    <w:rsid w:val="37F852F0"/>
    <w:rsid w:val="37FE1EED"/>
    <w:rsid w:val="381936A1"/>
    <w:rsid w:val="38983C63"/>
    <w:rsid w:val="38F567D8"/>
    <w:rsid w:val="392212CB"/>
    <w:rsid w:val="3934614D"/>
    <w:rsid w:val="39495D32"/>
    <w:rsid w:val="39C7097A"/>
    <w:rsid w:val="39D40806"/>
    <w:rsid w:val="3A3F0D01"/>
    <w:rsid w:val="3A443180"/>
    <w:rsid w:val="3B6F0D3B"/>
    <w:rsid w:val="3BC52383"/>
    <w:rsid w:val="3BD506F8"/>
    <w:rsid w:val="3BDB0441"/>
    <w:rsid w:val="3BEB4264"/>
    <w:rsid w:val="3C02687A"/>
    <w:rsid w:val="3C8407FD"/>
    <w:rsid w:val="3CA54FD4"/>
    <w:rsid w:val="3D1962EE"/>
    <w:rsid w:val="3D2A6CD9"/>
    <w:rsid w:val="3D2E2406"/>
    <w:rsid w:val="3DE60658"/>
    <w:rsid w:val="3E0A5CBD"/>
    <w:rsid w:val="3E845DF0"/>
    <w:rsid w:val="3EB5310C"/>
    <w:rsid w:val="3EB63AD8"/>
    <w:rsid w:val="3EF33A52"/>
    <w:rsid w:val="3F231F91"/>
    <w:rsid w:val="3F2A5DBF"/>
    <w:rsid w:val="3F6E2DD2"/>
    <w:rsid w:val="3FD72310"/>
    <w:rsid w:val="40082706"/>
    <w:rsid w:val="403705BE"/>
    <w:rsid w:val="412F0313"/>
    <w:rsid w:val="4196295D"/>
    <w:rsid w:val="41A3013D"/>
    <w:rsid w:val="41BE1F00"/>
    <w:rsid w:val="41C92D11"/>
    <w:rsid w:val="41E04540"/>
    <w:rsid w:val="41E141FB"/>
    <w:rsid w:val="42124109"/>
    <w:rsid w:val="42276D71"/>
    <w:rsid w:val="423237AD"/>
    <w:rsid w:val="42547DC4"/>
    <w:rsid w:val="426E47A6"/>
    <w:rsid w:val="428A6563"/>
    <w:rsid w:val="428C6EE6"/>
    <w:rsid w:val="429B5446"/>
    <w:rsid w:val="42BE4E63"/>
    <w:rsid w:val="43072BC5"/>
    <w:rsid w:val="437E50AA"/>
    <w:rsid w:val="44EF0640"/>
    <w:rsid w:val="45247CE8"/>
    <w:rsid w:val="452A68B7"/>
    <w:rsid w:val="45A262C1"/>
    <w:rsid w:val="45C36BA1"/>
    <w:rsid w:val="45D01CFB"/>
    <w:rsid w:val="45DA774D"/>
    <w:rsid w:val="46157AEA"/>
    <w:rsid w:val="466B51BA"/>
    <w:rsid w:val="466D47C1"/>
    <w:rsid w:val="46906F70"/>
    <w:rsid w:val="46C3655A"/>
    <w:rsid w:val="46CA4028"/>
    <w:rsid w:val="473432A8"/>
    <w:rsid w:val="479C3E56"/>
    <w:rsid w:val="48013E08"/>
    <w:rsid w:val="48327C0E"/>
    <w:rsid w:val="487A7004"/>
    <w:rsid w:val="48810722"/>
    <w:rsid w:val="489902E5"/>
    <w:rsid w:val="48AF12B2"/>
    <w:rsid w:val="48D964E8"/>
    <w:rsid w:val="492371BD"/>
    <w:rsid w:val="492B4668"/>
    <w:rsid w:val="493847C0"/>
    <w:rsid w:val="49860D83"/>
    <w:rsid w:val="498B568A"/>
    <w:rsid w:val="4A172D36"/>
    <w:rsid w:val="4A3E1CC9"/>
    <w:rsid w:val="4A7335C0"/>
    <w:rsid w:val="4A81375A"/>
    <w:rsid w:val="4AEA6A7D"/>
    <w:rsid w:val="4B0D5BE7"/>
    <w:rsid w:val="4B236DB6"/>
    <w:rsid w:val="4B4B4EA1"/>
    <w:rsid w:val="4B9D0EBD"/>
    <w:rsid w:val="4BA02C60"/>
    <w:rsid w:val="4BAE4A06"/>
    <w:rsid w:val="4BB60EB5"/>
    <w:rsid w:val="4BC243BB"/>
    <w:rsid w:val="4BC60F84"/>
    <w:rsid w:val="4BD04300"/>
    <w:rsid w:val="4BE34C4D"/>
    <w:rsid w:val="4BF41F4E"/>
    <w:rsid w:val="4C5201A4"/>
    <w:rsid w:val="4CC86CC9"/>
    <w:rsid w:val="4CCF09BE"/>
    <w:rsid w:val="4CF33FA5"/>
    <w:rsid w:val="4CFC4088"/>
    <w:rsid w:val="4CFE1A9C"/>
    <w:rsid w:val="4D324566"/>
    <w:rsid w:val="4D596748"/>
    <w:rsid w:val="4D6059EC"/>
    <w:rsid w:val="4D6D7FAB"/>
    <w:rsid w:val="4DBA1DA5"/>
    <w:rsid w:val="4DBA5D05"/>
    <w:rsid w:val="4DCA37C1"/>
    <w:rsid w:val="4E007688"/>
    <w:rsid w:val="4E2D3D5C"/>
    <w:rsid w:val="4EC07358"/>
    <w:rsid w:val="4F0513DA"/>
    <w:rsid w:val="4F376B1D"/>
    <w:rsid w:val="4F4679CA"/>
    <w:rsid w:val="4F8D0068"/>
    <w:rsid w:val="4F952DFE"/>
    <w:rsid w:val="4FC74215"/>
    <w:rsid w:val="5019146F"/>
    <w:rsid w:val="50512FE6"/>
    <w:rsid w:val="50612E8B"/>
    <w:rsid w:val="50617C41"/>
    <w:rsid w:val="50A43300"/>
    <w:rsid w:val="50AE2746"/>
    <w:rsid w:val="50B9004F"/>
    <w:rsid w:val="50CF6712"/>
    <w:rsid w:val="51002C4A"/>
    <w:rsid w:val="5101068D"/>
    <w:rsid w:val="51084EA8"/>
    <w:rsid w:val="519336D8"/>
    <w:rsid w:val="51CE51EA"/>
    <w:rsid w:val="5218370D"/>
    <w:rsid w:val="52871360"/>
    <w:rsid w:val="535206BD"/>
    <w:rsid w:val="536D20C4"/>
    <w:rsid w:val="538C7C5D"/>
    <w:rsid w:val="540E5D6C"/>
    <w:rsid w:val="5451544E"/>
    <w:rsid w:val="54806AB8"/>
    <w:rsid w:val="549A2CAE"/>
    <w:rsid w:val="54C2184C"/>
    <w:rsid w:val="54C54FBA"/>
    <w:rsid w:val="54E15429"/>
    <w:rsid w:val="54EC6149"/>
    <w:rsid w:val="54FA5FD4"/>
    <w:rsid w:val="55101984"/>
    <w:rsid w:val="55250E38"/>
    <w:rsid w:val="552B10D4"/>
    <w:rsid w:val="556028EC"/>
    <w:rsid w:val="55A55F45"/>
    <w:rsid w:val="55B37466"/>
    <w:rsid w:val="55BB2424"/>
    <w:rsid w:val="55C65894"/>
    <w:rsid w:val="564A21FF"/>
    <w:rsid w:val="568A1349"/>
    <w:rsid w:val="569F0D3E"/>
    <w:rsid w:val="56E76BBF"/>
    <w:rsid w:val="571578E4"/>
    <w:rsid w:val="574E1156"/>
    <w:rsid w:val="574E2A95"/>
    <w:rsid w:val="57770A0E"/>
    <w:rsid w:val="58017D40"/>
    <w:rsid w:val="58483979"/>
    <w:rsid w:val="585E79A4"/>
    <w:rsid w:val="587B73BC"/>
    <w:rsid w:val="58BE45F5"/>
    <w:rsid w:val="591F4341"/>
    <w:rsid w:val="592917F0"/>
    <w:rsid w:val="596D0E2D"/>
    <w:rsid w:val="597B2632"/>
    <w:rsid w:val="59D66195"/>
    <w:rsid w:val="59D72358"/>
    <w:rsid w:val="5A0E12F4"/>
    <w:rsid w:val="5A5460ED"/>
    <w:rsid w:val="5A7036C8"/>
    <w:rsid w:val="5AA90C84"/>
    <w:rsid w:val="5AA97B20"/>
    <w:rsid w:val="5AB02E8A"/>
    <w:rsid w:val="5B0F1C6A"/>
    <w:rsid w:val="5B331D02"/>
    <w:rsid w:val="5B4747F9"/>
    <w:rsid w:val="5B765B1C"/>
    <w:rsid w:val="5B914D11"/>
    <w:rsid w:val="5BA75F91"/>
    <w:rsid w:val="5BD445C5"/>
    <w:rsid w:val="5C3A0886"/>
    <w:rsid w:val="5C4E1185"/>
    <w:rsid w:val="5C58390B"/>
    <w:rsid w:val="5CC90C1B"/>
    <w:rsid w:val="5D770D5D"/>
    <w:rsid w:val="5DB5537E"/>
    <w:rsid w:val="5E1C4F9F"/>
    <w:rsid w:val="5E3175FC"/>
    <w:rsid w:val="5E89110A"/>
    <w:rsid w:val="5F9D44D9"/>
    <w:rsid w:val="5FB021B8"/>
    <w:rsid w:val="5FCA263B"/>
    <w:rsid w:val="5FF06E8B"/>
    <w:rsid w:val="60120163"/>
    <w:rsid w:val="605979B2"/>
    <w:rsid w:val="60B357B5"/>
    <w:rsid w:val="60C94158"/>
    <w:rsid w:val="610A0594"/>
    <w:rsid w:val="617B22F6"/>
    <w:rsid w:val="61B63C13"/>
    <w:rsid w:val="62427A01"/>
    <w:rsid w:val="62C36BFA"/>
    <w:rsid w:val="630642A7"/>
    <w:rsid w:val="632A00C2"/>
    <w:rsid w:val="63672E32"/>
    <w:rsid w:val="6453240E"/>
    <w:rsid w:val="64627260"/>
    <w:rsid w:val="64AB68E3"/>
    <w:rsid w:val="64D50563"/>
    <w:rsid w:val="64E539C0"/>
    <w:rsid w:val="64F347C0"/>
    <w:rsid w:val="64F94712"/>
    <w:rsid w:val="651E1CC8"/>
    <w:rsid w:val="65664C18"/>
    <w:rsid w:val="656F4186"/>
    <w:rsid w:val="657830C4"/>
    <w:rsid w:val="65C62DFF"/>
    <w:rsid w:val="666950C1"/>
    <w:rsid w:val="666F46F5"/>
    <w:rsid w:val="66987AAF"/>
    <w:rsid w:val="66D33638"/>
    <w:rsid w:val="66E43B8A"/>
    <w:rsid w:val="66E919DB"/>
    <w:rsid w:val="66F77BEF"/>
    <w:rsid w:val="670157D7"/>
    <w:rsid w:val="6721723D"/>
    <w:rsid w:val="67893F0B"/>
    <w:rsid w:val="67F84ACC"/>
    <w:rsid w:val="6815365B"/>
    <w:rsid w:val="68470535"/>
    <w:rsid w:val="692C44FE"/>
    <w:rsid w:val="69320663"/>
    <w:rsid w:val="69E95A08"/>
    <w:rsid w:val="6A372071"/>
    <w:rsid w:val="6A8C32AB"/>
    <w:rsid w:val="6A8C5542"/>
    <w:rsid w:val="6B941CE1"/>
    <w:rsid w:val="6CA7232D"/>
    <w:rsid w:val="6CE7628D"/>
    <w:rsid w:val="6D0F39F4"/>
    <w:rsid w:val="6D894577"/>
    <w:rsid w:val="6DE568EE"/>
    <w:rsid w:val="6E2B3C2B"/>
    <w:rsid w:val="6E311900"/>
    <w:rsid w:val="6E48357E"/>
    <w:rsid w:val="6E700740"/>
    <w:rsid w:val="6E710738"/>
    <w:rsid w:val="6E74461C"/>
    <w:rsid w:val="6E7D1B47"/>
    <w:rsid w:val="6E814537"/>
    <w:rsid w:val="6E947B46"/>
    <w:rsid w:val="6EAA7332"/>
    <w:rsid w:val="6EB42355"/>
    <w:rsid w:val="6EC57EA7"/>
    <w:rsid w:val="6F4A0A3A"/>
    <w:rsid w:val="6FEA6C33"/>
    <w:rsid w:val="7025453F"/>
    <w:rsid w:val="709715FA"/>
    <w:rsid w:val="70AD75A8"/>
    <w:rsid w:val="70B87E23"/>
    <w:rsid w:val="713E1263"/>
    <w:rsid w:val="714D1A2B"/>
    <w:rsid w:val="716843C2"/>
    <w:rsid w:val="718D6764"/>
    <w:rsid w:val="71AD00C3"/>
    <w:rsid w:val="71AF70D9"/>
    <w:rsid w:val="71D8418A"/>
    <w:rsid w:val="71F2365F"/>
    <w:rsid w:val="72016889"/>
    <w:rsid w:val="721566FF"/>
    <w:rsid w:val="721B3607"/>
    <w:rsid w:val="721E7BBD"/>
    <w:rsid w:val="7244304C"/>
    <w:rsid w:val="73892FEB"/>
    <w:rsid w:val="73944442"/>
    <w:rsid w:val="740876C9"/>
    <w:rsid w:val="743D3413"/>
    <w:rsid w:val="7465385E"/>
    <w:rsid w:val="746C0353"/>
    <w:rsid w:val="74CF652A"/>
    <w:rsid w:val="751A7C13"/>
    <w:rsid w:val="754F3B7B"/>
    <w:rsid w:val="756F1ED2"/>
    <w:rsid w:val="75767BCE"/>
    <w:rsid w:val="75D21260"/>
    <w:rsid w:val="75D75D65"/>
    <w:rsid w:val="76247529"/>
    <w:rsid w:val="762B7BF3"/>
    <w:rsid w:val="762E6250"/>
    <w:rsid w:val="76347B57"/>
    <w:rsid w:val="76550652"/>
    <w:rsid w:val="766E6878"/>
    <w:rsid w:val="769F3936"/>
    <w:rsid w:val="76C50414"/>
    <w:rsid w:val="77164E05"/>
    <w:rsid w:val="773B33BC"/>
    <w:rsid w:val="77AD1031"/>
    <w:rsid w:val="77EA30C7"/>
    <w:rsid w:val="78277D72"/>
    <w:rsid w:val="788412BC"/>
    <w:rsid w:val="78A50E11"/>
    <w:rsid w:val="78B74FA3"/>
    <w:rsid w:val="78D7568E"/>
    <w:rsid w:val="79217194"/>
    <w:rsid w:val="792471F4"/>
    <w:rsid w:val="79CB078C"/>
    <w:rsid w:val="79CF3A73"/>
    <w:rsid w:val="79FE1BF4"/>
    <w:rsid w:val="7A1830B4"/>
    <w:rsid w:val="7A2F00CB"/>
    <w:rsid w:val="7A4501AE"/>
    <w:rsid w:val="7A7A0F16"/>
    <w:rsid w:val="7AFA3202"/>
    <w:rsid w:val="7B0517DD"/>
    <w:rsid w:val="7B2703F5"/>
    <w:rsid w:val="7B7B202D"/>
    <w:rsid w:val="7B8C2698"/>
    <w:rsid w:val="7BDD5C4D"/>
    <w:rsid w:val="7C453888"/>
    <w:rsid w:val="7C562F9E"/>
    <w:rsid w:val="7D0575FB"/>
    <w:rsid w:val="7E4070B1"/>
    <w:rsid w:val="7EF53657"/>
    <w:rsid w:val="7F0026C7"/>
    <w:rsid w:val="7F4A368C"/>
    <w:rsid w:val="7FA04DDD"/>
    <w:rsid w:val="7FD57B0A"/>
    <w:rsid w:val="7FF828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autoRedefine/>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pPr>
    <w:rPr>
      <w:rFonts w:ascii="Symbol" w:hAnsi="Symbol" w:eastAsia="宋体" w:cs="Symbol"/>
      <w:color w:val="000000"/>
      <w:sz w:val="24"/>
      <w:szCs w:val="24"/>
      <w:lang w:val="en-US" w:eastAsia="zh-CN" w:bidi="ar-SA"/>
    </w:rPr>
  </w:style>
  <w:style w:type="paragraph" w:styleId="6">
    <w:name w:val="annotation text"/>
    <w:basedOn w:val="1"/>
    <w:link w:val="39"/>
    <w:autoRedefine/>
    <w:qFormat/>
    <w:uiPriority w:val="0"/>
    <w:pPr>
      <w:jc w:val="left"/>
    </w:pPr>
    <w:rPr>
      <w:rFonts w:ascii="Times New Roman" w:hAnsi="Times New Roman" w:eastAsia="宋体" w:cs="Times New Roman"/>
      <w:szCs w:val="20"/>
    </w:rPr>
  </w:style>
  <w:style w:type="paragraph" w:styleId="7">
    <w:name w:val="Body Text"/>
    <w:basedOn w:val="1"/>
    <w:next w:val="8"/>
    <w:qFormat/>
    <w:uiPriority w:val="0"/>
    <w:rPr>
      <w:rFonts w:cs="Times New Roman"/>
      <w:sz w:val="20"/>
      <w:szCs w:val="20"/>
    </w:rPr>
  </w:style>
  <w:style w:type="paragraph" w:customStyle="1" w:styleId="8">
    <w:name w:val="一级条标题"/>
    <w:basedOn w:val="9"/>
    <w:next w:val="10"/>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autoRedefine/>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10">
    <w:name w:val="段"/>
    <w:next w:val="11"/>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1">
    <w:name w:val="正文 A"/>
    <w:next w:val="10"/>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styleId="12">
    <w:name w:val="Block Text"/>
    <w:basedOn w:val="1"/>
    <w:autoRedefine/>
    <w:qFormat/>
    <w:uiPriority w:val="0"/>
    <w:pPr>
      <w:spacing w:after="120"/>
      <w:ind w:left="1440" w:leftChars="700" w:right="1440" w:rightChars="700"/>
    </w:pPr>
  </w:style>
  <w:style w:type="paragraph" w:styleId="13">
    <w:name w:val="index 4"/>
    <w:basedOn w:val="1"/>
    <w:next w:val="1"/>
    <w:autoRedefine/>
    <w:qFormat/>
    <w:uiPriority w:val="99"/>
    <w:pPr>
      <w:adjustRightInd w:val="0"/>
      <w:spacing w:line="360" w:lineRule="auto"/>
      <w:ind w:left="960" w:hanging="240"/>
      <w:jc w:val="left"/>
    </w:pPr>
    <w:rPr>
      <w:sz w:val="20"/>
    </w:rPr>
  </w:style>
  <w:style w:type="paragraph" w:styleId="14">
    <w:name w:val="toc 3"/>
    <w:basedOn w:val="1"/>
    <w:next w:val="1"/>
    <w:autoRedefine/>
    <w:unhideWhenUsed/>
    <w:qFormat/>
    <w:uiPriority w:val="39"/>
    <w:pPr>
      <w:tabs>
        <w:tab w:val="right" w:leader="dot" w:pos="8296"/>
      </w:tabs>
      <w:spacing w:line="480" w:lineRule="auto"/>
      <w:ind w:left="840" w:leftChars="400"/>
    </w:pPr>
  </w:style>
  <w:style w:type="paragraph" w:styleId="15">
    <w:name w:val="Plain Text"/>
    <w:basedOn w:val="1"/>
    <w:qFormat/>
    <w:uiPriority w:val="0"/>
    <w:rPr>
      <w:rFonts w:ascii="宋体" w:hAnsi="Courier New"/>
    </w:rPr>
  </w:style>
  <w:style w:type="paragraph" w:styleId="16">
    <w:name w:val="Balloon Text"/>
    <w:basedOn w:val="1"/>
    <w:link w:val="41"/>
    <w:semiHidden/>
    <w:unhideWhenUsed/>
    <w:qFormat/>
    <w:uiPriority w:val="99"/>
    <w:rPr>
      <w:sz w:val="18"/>
      <w:szCs w:val="18"/>
    </w:rPr>
  </w:style>
  <w:style w:type="paragraph" w:styleId="17">
    <w:name w:val="footer"/>
    <w:basedOn w:val="1"/>
    <w:link w:val="33"/>
    <w:autoRedefine/>
    <w:unhideWhenUsed/>
    <w:qFormat/>
    <w:uiPriority w:val="99"/>
    <w:pPr>
      <w:tabs>
        <w:tab w:val="center" w:pos="4153"/>
        <w:tab w:val="right" w:pos="8306"/>
      </w:tabs>
      <w:snapToGrid w:val="0"/>
      <w:jc w:val="left"/>
    </w:pPr>
    <w:rPr>
      <w:sz w:val="18"/>
      <w:szCs w:val="18"/>
    </w:rPr>
  </w:style>
  <w:style w:type="paragraph" w:styleId="18">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6"/>
    <w:basedOn w:val="1"/>
    <w:next w:val="1"/>
    <w:unhideWhenUsed/>
    <w:qFormat/>
    <w:uiPriority w:val="39"/>
    <w:pPr>
      <w:spacing w:after="57" w:line="360" w:lineRule="auto"/>
      <w:ind w:left="1417"/>
    </w:pPr>
    <w:rPr>
      <w:rFonts w:eastAsia="仿宋" w:cs="Calibri"/>
      <w:kern w:val="0"/>
      <w:sz w:val="24"/>
      <w:szCs w:val="21"/>
    </w:rPr>
  </w:style>
  <w:style w:type="paragraph" w:styleId="21">
    <w:name w:val="Body Text Indent 3"/>
    <w:basedOn w:val="1"/>
    <w:link w:val="42"/>
    <w:qFormat/>
    <w:uiPriority w:val="0"/>
    <w:pPr>
      <w:spacing w:line="440" w:lineRule="atLeast"/>
      <w:ind w:firstLine="480" w:firstLineChars="200"/>
      <w:jc w:val="left"/>
    </w:pPr>
    <w:rPr>
      <w:rFonts w:ascii="Times New Roman" w:hAnsi="Times New Roman" w:eastAsia="宋体" w:cs="Times New Roman"/>
      <w:sz w:val="24"/>
      <w:szCs w:val="24"/>
    </w:rPr>
  </w:style>
  <w:style w:type="paragraph" w:styleId="22">
    <w:name w:val="table of figures"/>
    <w:basedOn w:val="1"/>
    <w:next w:val="1"/>
    <w:autoRedefine/>
    <w:unhideWhenUsed/>
    <w:qFormat/>
    <w:uiPriority w:val="99"/>
    <w:pPr>
      <w:ind w:left="200" w:leftChars="200" w:hanging="200" w:hangingChars="200"/>
    </w:pPr>
  </w:style>
  <w:style w:type="paragraph" w:styleId="23">
    <w:name w:val="toc 2"/>
    <w:basedOn w:val="1"/>
    <w:next w:val="1"/>
    <w:unhideWhenUsed/>
    <w:qFormat/>
    <w:uiPriority w:val="39"/>
    <w:pPr>
      <w:ind w:left="420" w:leftChars="200"/>
    </w:pPr>
  </w:style>
  <w:style w:type="paragraph" w:styleId="24">
    <w:name w:val="Title"/>
    <w:basedOn w:val="1"/>
    <w:next w:val="1"/>
    <w:qFormat/>
    <w:uiPriority w:val="0"/>
    <w:pPr>
      <w:widowControl/>
      <w:spacing w:before="60" w:after="60"/>
      <w:jc w:val="center"/>
      <w:outlineLvl w:val="0"/>
    </w:pPr>
    <w:rPr>
      <w:rFonts w:ascii="Cambria" w:hAnsi="Cambria"/>
      <w:b/>
      <w:bCs/>
      <w:kern w:val="0"/>
      <w:sz w:val="24"/>
      <w:szCs w:val="32"/>
    </w:rPr>
  </w:style>
  <w:style w:type="paragraph" w:styleId="25">
    <w:name w:val="Body Text First Indent"/>
    <w:basedOn w:val="7"/>
    <w:next w:val="20"/>
    <w:qFormat/>
    <w:uiPriority w:val="0"/>
    <w:pPr>
      <w:spacing w:line="360" w:lineRule="auto"/>
      <w:ind w:firstLine="200" w:firstLineChars="200"/>
    </w:pPr>
    <w:rPr>
      <w:rFonts w:ascii="仿宋_GB2312" w:eastAsia="仿宋_GB2312"/>
      <w:sz w:val="30"/>
      <w:szCs w:val="30"/>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page number"/>
    <w:qFormat/>
    <w:uiPriority w:val="0"/>
  </w:style>
  <w:style w:type="character" w:styleId="30">
    <w:name w:val="Hyperlink"/>
    <w:basedOn w:val="28"/>
    <w:unhideWhenUsed/>
    <w:qFormat/>
    <w:uiPriority w:val="99"/>
    <w:rPr>
      <w:color w:val="0000FF" w:themeColor="hyperlink"/>
      <w:u w:val="single"/>
    </w:rPr>
  </w:style>
  <w:style w:type="character" w:styleId="31">
    <w:name w:val="annotation reference"/>
    <w:semiHidden/>
    <w:unhideWhenUsed/>
    <w:qFormat/>
    <w:uiPriority w:val="99"/>
    <w:rPr>
      <w:sz w:val="21"/>
      <w:szCs w:val="21"/>
    </w:rPr>
  </w:style>
  <w:style w:type="character" w:customStyle="1" w:styleId="32">
    <w:name w:val="页眉 Char"/>
    <w:basedOn w:val="28"/>
    <w:link w:val="18"/>
    <w:qFormat/>
    <w:uiPriority w:val="99"/>
    <w:rPr>
      <w:sz w:val="18"/>
      <w:szCs w:val="18"/>
    </w:rPr>
  </w:style>
  <w:style w:type="character" w:customStyle="1" w:styleId="33">
    <w:name w:val="页脚 Char"/>
    <w:basedOn w:val="28"/>
    <w:link w:val="17"/>
    <w:autoRedefine/>
    <w:qFormat/>
    <w:uiPriority w:val="99"/>
    <w:rPr>
      <w:sz w:val="18"/>
      <w:szCs w:val="18"/>
    </w:rPr>
  </w:style>
  <w:style w:type="character" w:customStyle="1" w:styleId="34">
    <w:name w:val="标题 1 Char"/>
    <w:basedOn w:val="28"/>
    <w:link w:val="3"/>
    <w:qFormat/>
    <w:uiPriority w:val="9"/>
    <w:rPr>
      <w:b/>
      <w:bCs/>
      <w:kern w:val="44"/>
      <w:sz w:val="44"/>
      <w:szCs w:val="44"/>
    </w:rPr>
  </w:style>
  <w:style w:type="character" w:customStyle="1" w:styleId="35">
    <w:name w:val="标题 2 Char"/>
    <w:basedOn w:val="28"/>
    <w:link w:val="4"/>
    <w:qFormat/>
    <w:uiPriority w:val="9"/>
    <w:rPr>
      <w:rFonts w:asciiTheme="majorHAnsi" w:hAnsiTheme="majorHAnsi" w:eastAsiaTheme="majorEastAsia" w:cstheme="majorBidi"/>
      <w:b/>
      <w:bCs/>
      <w:sz w:val="32"/>
      <w:szCs w:val="32"/>
    </w:rPr>
  </w:style>
  <w:style w:type="paragraph" w:styleId="36">
    <w:name w:val="List Paragraph"/>
    <w:basedOn w:val="1"/>
    <w:link w:val="37"/>
    <w:qFormat/>
    <w:uiPriority w:val="34"/>
    <w:pPr>
      <w:ind w:firstLine="420" w:firstLineChars="200"/>
    </w:pPr>
  </w:style>
  <w:style w:type="character" w:customStyle="1" w:styleId="37">
    <w:name w:val="列出段落 Char"/>
    <w:link w:val="36"/>
    <w:qFormat/>
    <w:uiPriority w:val="34"/>
  </w:style>
  <w:style w:type="character" w:customStyle="1" w:styleId="38">
    <w:name w:val="批注文字 Char"/>
    <w:basedOn w:val="28"/>
    <w:semiHidden/>
    <w:qFormat/>
    <w:uiPriority w:val="99"/>
  </w:style>
  <w:style w:type="character" w:customStyle="1" w:styleId="39">
    <w:name w:val="批注文字 Char1"/>
    <w:link w:val="6"/>
    <w:autoRedefine/>
    <w:qFormat/>
    <w:uiPriority w:val="0"/>
    <w:rPr>
      <w:rFonts w:ascii="Times New Roman" w:hAnsi="Times New Roman" w:eastAsia="宋体" w:cs="Times New Roman"/>
      <w:szCs w:val="20"/>
    </w:rPr>
  </w:style>
  <w:style w:type="paragraph" w:customStyle="1" w:styleId="4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1">
    <w:name w:val="批注框文本 Char"/>
    <w:basedOn w:val="28"/>
    <w:link w:val="16"/>
    <w:semiHidden/>
    <w:qFormat/>
    <w:uiPriority w:val="99"/>
    <w:rPr>
      <w:sz w:val="18"/>
      <w:szCs w:val="18"/>
    </w:rPr>
  </w:style>
  <w:style w:type="character" w:customStyle="1" w:styleId="42">
    <w:name w:val="正文文本缩进 3 Char"/>
    <w:basedOn w:val="28"/>
    <w:link w:val="21"/>
    <w:qFormat/>
    <w:uiPriority w:val="0"/>
    <w:rPr>
      <w:rFonts w:ascii="Times New Roman" w:hAnsi="Times New Roman" w:eastAsia="宋体" w:cs="Times New Roman"/>
      <w:sz w:val="24"/>
      <w:szCs w:val="24"/>
    </w:rPr>
  </w:style>
  <w:style w:type="paragraph" w:customStyle="1" w:styleId="43">
    <w:name w:val="正文_1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44">
    <w:name w:val="NormalCharacter"/>
    <w:qFormat/>
    <w:uiPriority w:val="0"/>
  </w:style>
  <w:style w:type="paragraph" w:customStyle="1" w:styleId="45">
    <w:name w:val="普通文字"/>
    <w:basedOn w:val="1"/>
    <w:next w:val="1"/>
    <w:qFormat/>
    <w:uiPriority w:val="99"/>
    <w:rPr>
      <w:rFonts w:ascii="宋体"/>
      <w:kern w:val="0"/>
      <w:sz w:val="24"/>
      <w:u w:val="none" w:color="000000"/>
    </w:rPr>
  </w:style>
  <w:style w:type="paragraph" w:customStyle="1" w:styleId="46">
    <w:name w:val="Table Paragraph"/>
    <w:basedOn w:val="1"/>
    <w:qFormat/>
    <w:uiPriority w:val="1"/>
    <w:pPr>
      <w:spacing w:line="360" w:lineRule="auto"/>
      <w:ind w:firstLine="260" w:firstLineChars="200"/>
      <w:jc w:val="left"/>
    </w:pPr>
    <w:rPr>
      <w:rFonts w:ascii="Calibri" w:hAnsi="Calibri" w:eastAsia="仿宋"/>
      <w:kern w:val="0"/>
      <w:sz w:val="28"/>
      <w:szCs w:val="22"/>
      <w:lang w:eastAsia="en-US"/>
    </w:rPr>
  </w:style>
  <w:style w:type="paragraph" w:customStyle="1" w:styleId="47">
    <w:name w:val="方案正文"/>
    <w:basedOn w:val="1"/>
    <w:qFormat/>
    <w:uiPriority w:val="0"/>
    <w:pPr>
      <w:widowControl/>
      <w:adjustRightInd w:val="0"/>
      <w:snapToGrid w:val="0"/>
      <w:spacing w:line="360" w:lineRule="auto"/>
      <w:ind w:firstLine="200" w:firstLineChars="200"/>
    </w:pPr>
    <w:rPr>
      <w:rFonts w:ascii="方正仿宋_GBK" w:hAnsi="方正仿宋_GBK" w:eastAsia="方正仿宋_GBK" w:cs="方正仿宋_GBK"/>
      <w:bCs/>
      <w:kern w:val="0"/>
      <w:sz w:val="28"/>
      <w:szCs w:val="28"/>
    </w:rPr>
  </w:style>
  <w:style w:type="paragraph" w:customStyle="1" w:styleId="48">
    <w:name w:val="正文_1"/>
    <w:qFormat/>
    <w:uiPriority w:val="0"/>
    <w:pPr>
      <w:widowControl w:val="0"/>
      <w:jc w:val="both"/>
    </w:pPr>
    <w:rPr>
      <w:rFonts w:ascii="Calibri" w:hAnsi="Calibri" w:eastAsia="等线" w:cs="Times New Roman"/>
      <w:kern w:val="2"/>
      <w:sz w:val="21"/>
      <w:szCs w:val="24"/>
      <w:lang w:val="en-US" w:eastAsia="zh-CN" w:bidi="ar-SA"/>
    </w:rPr>
  </w:style>
  <w:style w:type="paragraph" w:customStyle="1" w:styleId="49">
    <w:name w:val="首行缩进"/>
    <w:basedOn w:val="1"/>
    <w:autoRedefine/>
    <w:qFormat/>
    <w:uiPriority w:val="0"/>
    <w:pPr>
      <w:ind w:firstLine="480"/>
      <w:jc w:val="left"/>
    </w:pPr>
    <w:rPr>
      <w:rFonts w:ascii="宋体" w:hAnsi="宋体" w:cs="Calibri"/>
      <w:szCs w:val="21"/>
    </w:rPr>
  </w:style>
  <w:style w:type="paragraph" w:customStyle="1" w:styleId="50">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51">
    <w:name w:val="索引 11"/>
    <w:basedOn w:val="1"/>
    <w:next w:val="1"/>
    <w:qFormat/>
    <w:uiPriority w:val="0"/>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6B0FDC-627C-427C-92A2-908306AC15F5}">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23</Pages>
  <Words>14045</Words>
  <Characters>14772</Characters>
  <Lines>48</Lines>
  <Paragraphs>13</Paragraphs>
  <TotalTime>0</TotalTime>
  <ScaleCrop>false</ScaleCrop>
  <LinksUpToDate>false</LinksUpToDate>
  <CharactersWithSpaces>15814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2019-10-23T07:58:00Z</dcterms:created>
  <dc:creator>DH</dc:creator>
  <cp:lastModifiedBy>谈文杰</cp:lastModifiedBy>
  <cp:lastPrinted>2024-05-14T05:52:00Z</cp:lastPrinted>
  <dcterms:modified xsi:type="dcterms:W3CDTF">2024-05-14T05:55:51Z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2326746E3DF848938E3AE3C3C8F2FC72</vt:lpwstr>
  </property>
</Properties>
</file>