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eastAsia" w:ascii="方正小标宋_GBK" w:hAnsi="仿宋" w:eastAsia="方正小标宋_GBK"/>
          <w:color w:val="000000" w:themeColor="text1"/>
          <w:sz w:val="44"/>
          <w:szCs w:val="44"/>
          <w14:textFill>
            <w14:solidFill>
              <w14:schemeClr w14:val="tx1"/>
            </w14:solidFill>
          </w14:textFill>
        </w:rPr>
      </w:pPr>
      <w:bookmarkStart w:id="0" w:name="_Toc81426659"/>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_GBK" w:hAnsi="仿宋" w:eastAsia="方正小标宋_GBK"/>
          <w:color w:val="000000" w:themeColor="text1"/>
          <w:sz w:val="44"/>
          <w:szCs w:val="44"/>
          <w14:textFill>
            <w14:solidFill>
              <w14:schemeClr w14:val="tx1"/>
            </w14:solidFill>
          </w14:textFill>
        </w:rPr>
      </w:pPr>
      <w:r>
        <w:rPr>
          <w:rFonts w:hint="eastAsia" w:ascii="方正小标宋_GBK" w:hAnsi="仿宋" w:eastAsia="方正小标宋_GBK"/>
          <w:color w:val="000000" w:themeColor="text1"/>
          <w:sz w:val="44"/>
          <w:szCs w:val="44"/>
          <w14:textFill>
            <w14:solidFill>
              <w14:schemeClr w14:val="tx1"/>
            </w14:solidFill>
          </w14:textFill>
        </w:rPr>
        <w:t>宜兴市“十四五”综合交通运输发展规划</w:t>
      </w:r>
    </w:p>
    <w:p>
      <w:pPr>
        <w:spacing w:line="560" w:lineRule="exact"/>
        <w:ind w:firstLine="0" w:firstLineChars="0"/>
        <w:jc w:val="center"/>
        <w:rPr>
          <w:rFonts w:ascii="仿宋" w:hAnsi="仿宋" w:eastAsia="仿宋"/>
          <w:b/>
          <w:color w:val="000000" w:themeColor="text1"/>
          <w:sz w:val="44"/>
          <w:szCs w:val="44"/>
          <w14:textFill>
            <w14:solidFill>
              <w14:schemeClr w14:val="tx1"/>
            </w14:solidFill>
          </w14:textFill>
        </w:rPr>
      </w:pPr>
    </w:p>
    <w:p>
      <w:pPr>
        <w:spacing w:line="560" w:lineRule="exact"/>
        <w:ind w:firstLine="640"/>
        <w:rPr>
          <w:rFonts w:ascii="方正黑体_GBK" w:eastAsia="方正黑体_GBK"/>
        </w:rPr>
      </w:pPr>
      <w:r>
        <w:rPr>
          <w:rFonts w:hint="eastAsia" w:ascii="方正黑体_GBK" w:eastAsia="方正黑体_GBK"/>
        </w:rPr>
        <w:t>一、发展基础</w:t>
      </w:r>
      <w:bookmarkEnd w:id="0"/>
    </w:p>
    <w:p>
      <w:pPr>
        <w:spacing w:line="560" w:lineRule="exact"/>
        <w:ind w:firstLine="640"/>
        <w:rPr>
          <w:rFonts w:ascii="方正楷体_GBK" w:eastAsia="方正楷体_GBK"/>
        </w:rPr>
      </w:pPr>
      <w:bookmarkStart w:id="1" w:name="_Toc81426660"/>
      <w:r>
        <w:rPr>
          <w:rFonts w:hint="eastAsia" w:ascii="方正楷体_GBK" w:eastAsia="方正楷体_GBK"/>
        </w:rPr>
        <w:t>（一）发展评估</w:t>
      </w:r>
      <w:bookmarkEnd w:id="1"/>
    </w:p>
    <w:p>
      <w:pPr>
        <w:spacing w:line="560" w:lineRule="exact"/>
        <w:ind w:firstLine="640"/>
        <w:rPr>
          <w:rFonts w:ascii="方正仿宋_GBK"/>
        </w:rPr>
      </w:pPr>
      <w:r>
        <w:rPr>
          <w:rFonts w:hint="eastAsia" w:ascii="方正仿宋_GBK"/>
        </w:rPr>
        <w:t>“十三五”时期，是宜兴交通投资</w:t>
      </w:r>
      <w:bookmarkStart w:id="31" w:name="_GoBack"/>
      <w:bookmarkEnd w:id="31"/>
      <w:r>
        <w:rPr>
          <w:rFonts w:hint="eastAsia" w:ascii="方正仿宋_GBK"/>
        </w:rPr>
        <w:t>规模最大、发展质量最优、人民满意度更高的五年，现代综合交通运输体系建设稳步推进为全市高水平全面建成小康社会提供了有力保障。</w:t>
      </w:r>
    </w:p>
    <w:p>
      <w:pPr>
        <w:spacing w:line="560" w:lineRule="exact"/>
        <w:ind w:firstLine="640"/>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1．综合立体网络加快完善</w:t>
      </w:r>
    </w:p>
    <w:p>
      <w:pPr>
        <w:spacing w:line="560" w:lineRule="exact"/>
        <w:ind w:firstLine="640"/>
        <w:rPr>
          <w:rFonts w:ascii="方正仿宋_GBK"/>
        </w:rPr>
      </w:pPr>
      <w:r>
        <w:rPr>
          <w:rFonts w:hint="eastAsia" w:ascii="方正仿宋_GBK"/>
        </w:rPr>
        <w:t>“十三五”期间，全市交通运输基础设施累计完成投资96.5亿元，是“十二五”时期的130%，其中公路、铁路、场站、航空分别投资85.8亿元、1.5亿元、0.5亿元和6.9亿元，占比达88.9%、1.6%、0.5%和7.2%。综合交通网总里程达到3736公里，较“十二五”时期增长628公里，其中公路里程3030公里，航道里程605公里，铁路里程101公里。</w:t>
      </w:r>
    </w:p>
    <w:p>
      <w:pPr>
        <w:spacing w:line="560" w:lineRule="exact"/>
        <w:ind w:firstLine="640"/>
        <w:rPr>
          <w:rFonts w:ascii="方正仿宋_GBK"/>
        </w:rPr>
      </w:pPr>
      <w:r>
        <w:rPr>
          <w:rFonts w:hint="eastAsia" w:ascii="方正仿宋_GBK"/>
        </w:rPr>
        <w:t>（1）对外快速联系的复合型通道加快形成</w:t>
      </w:r>
    </w:p>
    <w:p>
      <w:pPr>
        <w:spacing w:line="560" w:lineRule="exact"/>
        <w:ind w:firstLine="640"/>
        <w:rPr>
          <w:rFonts w:ascii="方正仿宋_GBK"/>
        </w:rPr>
      </w:pPr>
      <w:r>
        <w:rPr>
          <w:rFonts w:hint="eastAsia" w:ascii="方正仿宋_GBK"/>
        </w:rPr>
        <w:t>①宁杭通道（国家级通道）：建成宜长高速，与宁杭高速一起形成“南京—宜兴—杭州”双高速通道。</w:t>
      </w:r>
    </w:p>
    <w:p>
      <w:pPr>
        <w:spacing w:line="560" w:lineRule="exact"/>
        <w:ind w:firstLine="640"/>
        <w:rPr>
          <w:rFonts w:ascii="方正仿宋_GBK"/>
        </w:rPr>
      </w:pPr>
      <w:r>
        <w:rPr>
          <w:rFonts w:hint="eastAsia" w:ascii="方正仿宋_GBK"/>
        </w:rPr>
        <w:t>②常宜通道（省级通道）：建成常宜高速、S262宜兴段，形成“泰州—常州—宜兴”最便捷通道。</w:t>
      </w:r>
    </w:p>
    <w:p>
      <w:pPr>
        <w:spacing w:line="560" w:lineRule="exact"/>
        <w:ind w:firstLine="640"/>
        <w:rPr>
          <w:rFonts w:ascii="方正仿宋_GBK"/>
          <w:color w:val="000000"/>
        </w:rPr>
      </w:pPr>
      <w:r>
        <w:rPr>
          <w:rFonts w:hint="eastAsia" w:ascii="方正仿宋_GBK"/>
        </w:rPr>
        <w:t>③锡宜通道（市级通道）：开工建设宜马快速通道、S341周杨公路，加强与中心城市联系，为都市圈一体化发展提供保障。</w:t>
      </w:r>
    </w:p>
    <w:p>
      <w:pPr>
        <w:spacing w:line="560" w:lineRule="exact"/>
        <w:ind w:firstLine="640"/>
        <w:rPr>
          <w:rFonts w:ascii="方正仿宋_GBK"/>
        </w:rPr>
      </w:pPr>
      <w:r>
        <w:rPr>
          <w:rFonts w:hint="eastAsia" w:ascii="方正仿宋_GBK"/>
        </w:rPr>
        <w:t>（2）近城通村一体化网络基本形成</w:t>
      </w:r>
    </w:p>
    <w:p>
      <w:pPr>
        <w:spacing w:line="560" w:lineRule="exact"/>
        <w:ind w:firstLine="640"/>
        <w:rPr>
          <w:rFonts w:ascii="方正仿宋_GBK"/>
        </w:rPr>
      </w:pPr>
      <w:r>
        <w:rPr>
          <w:rFonts w:hint="eastAsia" w:ascii="方正仿宋_GBK"/>
          <w:bCs/>
        </w:rPr>
        <w:t>“十三五”期间，建成常宜高速、宜长高速，</w:t>
      </w:r>
      <w:r>
        <w:rPr>
          <w:rFonts w:hint="eastAsia" w:ascii="方正仿宋_GBK"/>
        </w:rPr>
        <w:t>形成“两纵一横一联”</w:t>
      </w:r>
      <w:r>
        <w:rPr>
          <w:rFonts w:hint="eastAsia" w:ascii="方正仿宋_GBK"/>
          <w:bCs/>
        </w:rPr>
        <w:t>总计</w:t>
      </w:r>
      <w:r>
        <w:rPr>
          <w:rFonts w:hint="eastAsia" w:ascii="方正仿宋_GBK"/>
        </w:rPr>
        <w:t>107公里的高速路网布局；建成S262宜兴段、S360洑湖段和西渚至张渚段，形成“四纵三横”</w:t>
      </w:r>
      <w:r>
        <w:rPr>
          <w:rFonts w:hint="eastAsia" w:ascii="方正仿宋_GBK"/>
          <w:bCs/>
        </w:rPr>
        <w:t>总计</w:t>
      </w:r>
      <w:r>
        <w:rPr>
          <w:rFonts w:hint="eastAsia" w:ascii="方正仿宋_GBK"/>
        </w:rPr>
        <w:t>292公里的普通国省道网布局；建成范蠡大道、云岭路、善龙路、雅达小镇南环路、潘西线、双湖路、阳灵隧道、蒋张路、汤省线改线、竹海复线、宜官路一期等工程，完成农村道路提档升级改造780公里、危旧桥梁改造137座，农村公路总里程达2631公里，形成街镇通二级公路、行政村通双车道四级公路、规划发展村庄通等级公路的农村公路网布局。</w:t>
      </w:r>
    </w:p>
    <w:p>
      <w:pPr>
        <w:spacing w:line="560" w:lineRule="exact"/>
        <w:ind w:firstLine="640"/>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2．运输服务水平明显改善</w:t>
      </w:r>
    </w:p>
    <w:p>
      <w:pPr>
        <w:spacing w:line="560" w:lineRule="exact"/>
        <w:ind w:firstLine="640"/>
        <w:rPr>
          <w:rFonts w:ascii="方正仿宋_GBK"/>
        </w:rPr>
      </w:pPr>
      <w:r>
        <w:rPr>
          <w:rFonts w:hint="eastAsia" w:ascii="方正仿宋_GBK"/>
        </w:rPr>
        <w:t>（1）运输服务基础设施进一步完善</w:t>
      </w:r>
    </w:p>
    <w:p>
      <w:pPr>
        <w:spacing w:line="560" w:lineRule="exact"/>
        <w:ind w:firstLine="640"/>
        <w:rPr>
          <w:rFonts w:ascii="方正仿宋_GBK"/>
        </w:rPr>
      </w:pPr>
      <w:r>
        <w:rPr>
          <w:rFonts w:hint="eastAsia" w:ascii="方正仿宋_GBK"/>
        </w:rPr>
        <w:t>建成三级及以上汽车客运站3座，公交首末站33座，公交站台2318个。实现了建制镇“镇镇有站”，同步覆盖被撤并集镇和人口密集区。城市公交站点500米覆盖率达99.5%，行政村镇村公交覆盖率达100%。</w:t>
      </w:r>
    </w:p>
    <w:p>
      <w:pPr>
        <w:spacing w:line="560" w:lineRule="exact"/>
        <w:ind w:firstLine="640"/>
        <w:rPr>
          <w:rFonts w:ascii="方正仿宋_GBK"/>
        </w:rPr>
      </w:pPr>
      <w:r>
        <w:rPr>
          <w:rFonts w:hint="eastAsia" w:ascii="方正仿宋_GBK"/>
        </w:rPr>
        <w:t>（2）服务于便民出行的能力进一步提升</w:t>
      </w:r>
    </w:p>
    <w:p>
      <w:pPr>
        <w:spacing w:line="560" w:lineRule="exact"/>
        <w:ind w:firstLine="640"/>
        <w:rPr>
          <w:rFonts w:ascii="方正仿宋_GBK"/>
        </w:rPr>
      </w:pPr>
      <w:r>
        <w:rPr>
          <w:rFonts w:hint="eastAsia" w:ascii="方正仿宋_GBK"/>
        </w:rPr>
        <w:t>①公交线网持续优化调整。“十三五”期间新辟和优化调整城市、城乡公交线路74条，2020年底公交线路达到140条。</w:t>
      </w:r>
    </w:p>
    <w:p>
      <w:pPr>
        <w:spacing w:line="560" w:lineRule="exact"/>
        <w:ind w:firstLine="640"/>
        <w:rPr>
          <w:rFonts w:ascii="方正仿宋_GBK"/>
        </w:rPr>
      </w:pPr>
      <w:r>
        <w:rPr>
          <w:rFonts w:hint="eastAsia" w:ascii="方正仿宋_GBK"/>
        </w:rPr>
        <w:t>②运营服务模式不断创新。积极拓展短途、多样化和个性化客运市场，根据乘客需求在宜兴至竹海风景区、善卷洞风景区、官林客运站、万石等线路上采用“大站快车”的运营服务模式。围绕“运游一体”的服务理念，开通了从高铁站到湖</w:t>
      </w:r>
      <w:r>
        <w:rPr>
          <w:rFonts w:hint="eastAsia" w:ascii="方正仿宋_GBK" w:hAnsi="宋体" w:eastAsia="宋体" w:cs="宋体"/>
        </w:rPr>
        <w:t>㳇</w:t>
      </w:r>
      <w:r>
        <w:rPr>
          <w:rFonts w:hint="eastAsia" w:ascii="方正仿宋_GBK"/>
        </w:rPr>
        <w:t>镇的免费旅游直通车。开通了城区内学生公交专线，解决师生出行不便的问题。开通了宜兴至武进、溧阳、金坛等毗邻地区的公交化线路。开通了宜兴至浦东机场以及高铁站的接驳线。疫情期间开通了“点对点、一站式”包车运输服务，为复工企业提供转运全国各地员工入宜返岗包车。</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0" w:firstLineChars="0"/>
              <w:rPr>
                <w:rFonts w:ascii="方正黑体_GBK" w:hAnsi="仿宋" w:eastAsia="方正黑体_GBK"/>
                <w:kern w:val="0"/>
                <w:sz w:val="24"/>
              </w:rPr>
            </w:pPr>
            <w:r>
              <w:rPr>
                <w:rFonts w:hint="eastAsia" w:ascii="方正黑体_GBK" w:hAnsi="仿宋" w:eastAsia="方正黑体_GBK"/>
                <w:kern w:val="0"/>
                <w:sz w:val="28"/>
              </w:rPr>
              <w:t>专栏：宜兴市公交“大站快线”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96" w:type="dxa"/>
          </w:tcPr>
          <w:p>
            <w:pPr>
              <w:spacing w:line="560" w:lineRule="exact"/>
              <w:ind w:firstLine="560"/>
              <w:rPr>
                <w:rFonts w:ascii="方正仿宋_GBK" w:hAnsi="仿宋"/>
                <w:kern w:val="0"/>
                <w:sz w:val="28"/>
              </w:rPr>
            </w:pPr>
            <w:r>
              <w:rPr>
                <w:rFonts w:hint="eastAsia" w:ascii="方正仿宋_GBK" w:hAnsi="仿宋"/>
                <w:kern w:val="0"/>
                <w:sz w:val="28"/>
              </w:rPr>
              <w:t>大站快线：即在保持原线路运力不变的前提下增加部分车次，不再依次停靠每个公交车站，而只停靠沿途较大的站点，从而提高整体运行效率。</w:t>
            </w:r>
          </w:p>
          <w:p>
            <w:pPr>
              <w:spacing w:line="560" w:lineRule="exact"/>
              <w:ind w:firstLine="560"/>
              <w:rPr>
                <w:rFonts w:ascii="仿宋" w:hAnsi="仿宋" w:eastAsia="仿宋"/>
                <w:b/>
                <w:kern w:val="0"/>
                <w:sz w:val="24"/>
              </w:rPr>
            </w:pPr>
            <w:r>
              <w:rPr>
                <w:rFonts w:hint="eastAsia" w:ascii="方正仿宋_GBK" w:hAnsi="仿宋"/>
                <w:kern w:val="0"/>
                <w:sz w:val="28"/>
              </w:rPr>
              <w:t>公交216路（宜兴—太华），全程40公里，14对站，站点间距2.9公里；宜兴市的公交278路（宜兴—新建），全程48.6公里，32对站，站点间距1.5公里；站点间距均超过了常规公交一般400~800米的站间距，通行时间较调整为大站快线前缩短30分钟。</w:t>
            </w:r>
          </w:p>
        </w:tc>
      </w:tr>
    </w:tbl>
    <w:p>
      <w:pPr>
        <w:adjustRightInd w:val="0"/>
        <w:spacing w:line="560" w:lineRule="exact"/>
        <w:ind w:firstLine="640"/>
        <w:textAlignment w:val="baseline"/>
        <w:outlineLvl w:val="3"/>
        <w:rPr>
          <w:rFonts w:ascii="方正仿宋_GBK" w:hAnsi="仿宋"/>
          <w:bCs/>
          <w:color w:val="000000" w:themeColor="text1"/>
          <w:szCs w:val="32"/>
          <w14:textFill>
            <w14:solidFill>
              <w14:schemeClr w14:val="tx1"/>
            </w14:solidFill>
          </w14:textFill>
        </w:rPr>
      </w:pPr>
      <w:r>
        <w:rPr>
          <w:rFonts w:hint="eastAsia" w:ascii="方正仿宋_GBK" w:hAnsi="仿宋"/>
          <w:bCs/>
          <w:color w:val="000000" w:themeColor="text1"/>
          <w:szCs w:val="32"/>
          <w14:textFill>
            <w14:solidFill>
              <w14:schemeClr w14:val="tx1"/>
            </w14:solidFill>
          </w14:textFill>
        </w:rPr>
        <w:t>3．行业治理能力显著提升</w:t>
      </w:r>
    </w:p>
    <w:p>
      <w:pPr>
        <w:spacing w:line="560" w:lineRule="exact"/>
        <w:ind w:firstLine="640"/>
        <w:rPr>
          <w:rFonts w:ascii="方正仿宋_GBK" w:hAnsi="仿宋"/>
        </w:rPr>
      </w:pPr>
      <w:r>
        <w:rPr>
          <w:rFonts w:hint="eastAsia" w:ascii="方正仿宋_GBK" w:hAnsi="仿宋"/>
        </w:rPr>
        <w:t>（1）事业单位改革和国有企业改革深入推进</w:t>
      </w:r>
    </w:p>
    <w:p>
      <w:pPr>
        <w:spacing w:line="560" w:lineRule="exact"/>
        <w:ind w:firstLine="640"/>
        <w:rPr>
          <w:rFonts w:ascii="方正仿宋_GBK" w:hAnsi="仿宋"/>
          <w:szCs w:val="32"/>
        </w:rPr>
      </w:pPr>
      <w:r>
        <w:rPr>
          <w:rFonts w:hint="eastAsia" w:ascii="方正仿宋_GBK" w:hAnsi="仿宋"/>
        </w:rPr>
        <w:t>2017年成立宜兴市交通产业集团，为交通国企率先摆脱体制制约、加速释放活力提供机遇和平台，为全市国有企业改革探索经验、提供示范。2018年完成交通事业单位改革，成立公路事业发展中心、港航事业发展中心和交通运输综合执法大队，</w:t>
      </w:r>
      <w:r>
        <w:rPr>
          <w:rFonts w:hint="eastAsia" w:ascii="方正仿宋_GBK" w:hAnsi="仿宋"/>
          <w:szCs w:val="32"/>
        </w:rPr>
        <w:t>整合</w:t>
      </w:r>
      <w:r>
        <w:rPr>
          <w:rFonts w:hint="eastAsia" w:ascii="方正仿宋_GBK" w:hAnsi="仿宋"/>
          <w:color w:val="000000"/>
          <w:szCs w:val="32"/>
        </w:rPr>
        <w:t>公路路政、道路运政、航政、水路运政、地方海事、交通工程质量监督等六大交通执法门类的职能，</w:t>
      </w:r>
      <w:r>
        <w:rPr>
          <w:rFonts w:hint="eastAsia" w:ascii="方正仿宋_GBK" w:hAnsi="仿宋"/>
          <w:szCs w:val="32"/>
        </w:rPr>
        <w:t>实现“一个部门一支队伍”，解决机构重叠、职能交叉等问题。</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0" w:firstLineChars="0"/>
              <w:rPr>
                <w:rFonts w:ascii="方正黑体_GBK" w:hAnsi="仿宋" w:eastAsia="方正黑体_GBK"/>
                <w:kern w:val="0"/>
                <w:sz w:val="24"/>
              </w:rPr>
            </w:pPr>
            <w:r>
              <w:rPr>
                <w:rFonts w:hint="eastAsia" w:ascii="方正黑体_GBK" w:hAnsi="仿宋" w:eastAsia="方正黑体_GBK"/>
                <w:kern w:val="0"/>
                <w:sz w:val="28"/>
              </w:rPr>
              <w:t>专栏：宜兴市交通产业集团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96" w:type="dxa"/>
          </w:tcPr>
          <w:p>
            <w:pPr>
              <w:spacing w:line="560" w:lineRule="exact"/>
              <w:ind w:firstLine="560"/>
              <w:rPr>
                <w:rFonts w:ascii="方正仿宋_GBK" w:hAnsi="仿宋"/>
                <w:kern w:val="0"/>
                <w:sz w:val="28"/>
              </w:rPr>
            </w:pPr>
            <w:r>
              <w:rPr>
                <w:rFonts w:hint="eastAsia" w:ascii="方正仿宋_GBK" w:hAnsi="仿宋"/>
                <w:kern w:val="0"/>
                <w:sz w:val="28"/>
              </w:rPr>
              <w:t>宜兴市交通产业集团于2017年9月2日正式挂牌成立，注册资本8.207亿元。宜兴市交通产业集团的成立是市委、市政府深化国企改革、加快转型升级的重大决策，也是交通国有企业顺应发展趋势、致力做大做强的必然选择。</w:t>
            </w:r>
          </w:p>
          <w:p>
            <w:pPr>
              <w:spacing w:line="560" w:lineRule="exact"/>
              <w:ind w:firstLine="560"/>
              <w:rPr>
                <w:rFonts w:ascii="仿宋" w:hAnsi="仿宋" w:eastAsia="仿宋"/>
                <w:b/>
                <w:kern w:val="0"/>
                <w:sz w:val="24"/>
              </w:rPr>
            </w:pPr>
            <w:r>
              <w:rPr>
                <w:rFonts w:hint="eastAsia" w:ascii="方正仿宋_GBK" w:hAnsi="仿宋"/>
                <w:kern w:val="0"/>
                <w:sz w:val="28"/>
              </w:rPr>
              <w:t>业务范围涵盖交通工程建设、客运服务、驾培、机动车检测与维修、新能源应用、港口物流、房地产开发等多个领域。拥有公路工程施工总承包一级、公路安全设施专业承包一级（部级）、道路运输二级、公路工程监理甲级、机动车检验检测等多项资质。先后获得江苏省优秀建筑企业、江苏省明星企业、江苏省建筑业百家企业、宜兴市金牌企业等多项荣誉。</w:t>
            </w:r>
          </w:p>
        </w:tc>
      </w:tr>
    </w:tbl>
    <w:p>
      <w:pPr>
        <w:spacing w:line="560" w:lineRule="exact"/>
        <w:ind w:firstLine="640"/>
        <w:rPr>
          <w:rFonts w:ascii="方正仿宋_GBK" w:hAnsi="仿宋"/>
        </w:rPr>
      </w:pPr>
      <w:r>
        <w:rPr>
          <w:rFonts w:hint="eastAsia" w:ascii="方正仿宋_GBK" w:hAnsi="仿宋"/>
        </w:rPr>
        <w:t>（2）交通安全领域专项整治稳步推进</w:t>
      </w:r>
    </w:p>
    <w:p>
      <w:pPr>
        <w:spacing w:line="560" w:lineRule="exact"/>
        <w:ind w:firstLine="640"/>
        <w:rPr>
          <w:rFonts w:ascii="方正仿宋_GBK" w:hAnsi="仿宋"/>
          <w:color w:val="000000" w:themeColor="text1"/>
          <w:szCs w:val="32"/>
          <w14:textFill>
            <w14:solidFill>
              <w14:schemeClr w14:val="tx1"/>
            </w14:solidFill>
          </w14:textFill>
        </w:rPr>
      </w:pPr>
      <w:r>
        <w:rPr>
          <w:rFonts w:hint="eastAsia" w:ascii="方正仿宋_GBK" w:hAnsi="仿宋"/>
          <w:szCs w:val="32"/>
        </w:rPr>
        <w:t>持续完善安全领域体制机制，出台了《安全隐患大排查大整治专项行动方案》、《宜兴市交通运输局铁路和水上交通安全专项整治三年行动实施方案》，</w:t>
      </w:r>
      <w:r>
        <w:rPr>
          <w:rFonts w:hint="eastAsia" w:ascii="方正仿宋_GBK" w:hAnsi="仿宋"/>
          <w:color w:val="000000" w:themeColor="text1"/>
          <w:szCs w:val="32"/>
          <w14:textFill>
            <w14:solidFill>
              <w14:schemeClr w14:val="tx1"/>
            </w14:solidFill>
          </w14:textFill>
        </w:rPr>
        <w:t>制定下发《交通运输安全生产工作要点》，层层签订《安全生产责任状》，压实安全生产领导责任、监管责任和企业主体责任。</w:t>
      </w:r>
    </w:p>
    <w:p>
      <w:pPr>
        <w:spacing w:line="560" w:lineRule="exact"/>
        <w:ind w:firstLine="640"/>
        <w:rPr>
          <w:rFonts w:ascii="方正仿宋_GBK" w:hAnsi="仿宋"/>
          <w:b/>
        </w:rPr>
      </w:pPr>
      <w:r>
        <w:rPr>
          <w:rFonts w:hint="eastAsia" w:ascii="方正仿宋_GBK" w:hAnsi="仿宋"/>
          <w:color w:val="000000" w:themeColor="text1"/>
          <w:szCs w:val="32"/>
          <w14:textFill>
            <w14:solidFill>
              <w14:schemeClr w14:val="tx1"/>
            </w14:solidFill>
          </w14:textFill>
        </w:rPr>
        <w:t>大力加强安全领域智能管控，</w:t>
      </w:r>
      <w:r>
        <w:rPr>
          <w:rFonts w:hint="eastAsia" w:ascii="方正仿宋_GBK" w:hAnsi="仿宋"/>
          <w:color w:val="000000" w:themeColor="text1"/>
          <w:kern w:val="0"/>
          <w:szCs w:val="32"/>
          <w14:textFill>
            <w14:solidFill>
              <w14:schemeClr w14:val="tx1"/>
            </w14:solidFill>
          </w14:textFill>
        </w:rPr>
        <w:t>建成投用“两客一危”主动安全智能防控系统、干线航道监控系统、桥梁碰撞预警系统等智能化安防系统。持续推进国省道、县乡道路安全生命防护工程，有序实施</w:t>
      </w:r>
      <w:r>
        <w:rPr>
          <w:rFonts w:hint="eastAsia" w:ascii="方正仿宋_GBK" w:hAnsi="仿宋"/>
          <w:color w:val="000000" w:themeColor="text1"/>
          <w:szCs w:val="32"/>
          <w14:textFill>
            <w14:solidFill>
              <w14:schemeClr w14:val="tx1"/>
            </w14:solidFill>
          </w14:textFill>
        </w:rPr>
        <w:t>公交车技术防范改造，公交车一键报警装置、安全警戒线、警示标志等实现全覆盖。</w:t>
      </w:r>
      <w:r>
        <w:rPr>
          <w:rFonts w:hint="eastAsia" w:ascii="方正仿宋_GBK" w:hAnsi="仿宋"/>
          <w:color w:val="000000"/>
          <w:kern w:val="0"/>
          <w:szCs w:val="32"/>
        </w:rPr>
        <w:t>依托监控中心，整合海事、运管、综管监控系统，对“两客一危”车辆、干线航道、重点码头实施全天候不间断监管。</w:t>
      </w:r>
    </w:p>
    <w:p>
      <w:pPr>
        <w:spacing w:line="560" w:lineRule="exact"/>
        <w:ind w:firstLine="640"/>
        <w:rPr>
          <w:rFonts w:ascii="方正仿宋_GBK" w:hAnsi="仿宋"/>
        </w:rPr>
      </w:pPr>
      <w:r>
        <w:rPr>
          <w:rFonts w:hint="eastAsia" w:ascii="方正仿宋_GBK" w:hAnsi="仿宋"/>
        </w:rPr>
        <w:t>（3）路域环境整治效果显著</w:t>
      </w:r>
    </w:p>
    <w:p>
      <w:pPr>
        <w:spacing w:line="560" w:lineRule="exact"/>
        <w:ind w:firstLine="640"/>
        <w:rPr>
          <w:rFonts w:ascii="方正仿宋_GBK" w:hAnsi="仿宋"/>
        </w:rPr>
      </w:pPr>
      <w:r>
        <w:rPr>
          <w:rFonts w:hint="eastAsia" w:ascii="方正仿宋_GBK" w:hAnsi="仿宋"/>
          <w:bCs/>
          <w:color w:val="000000" w:themeColor="text1"/>
          <w:szCs w:val="32"/>
          <w14:textFill>
            <w14:solidFill>
              <w14:schemeClr w14:val="tx1"/>
            </w14:solidFill>
          </w14:textFill>
        </w:rPr>
        <w:t>顺利完成交通干线沿线环境整治“五项行动”，高标准通过省级验收，普通国省道得分全省第一。</w:t>
      </w:r>
      <w:r>
        <w:rPr>
          <w:rFonts w:hint="eastAsia" w:ascii="方正仿宋_GBK" w:hAnsi="仿宋"/>
          <w:color w:val="000000" w:themeColor="text1"/>
          <w:szCs w:val="32"/>
          <w14:textFill>
            <w14:solidFill>
              <w14:schemeClr w14:val="tx1"/>
            </w14:solidFill>
          </w14:textFill>
        </w:rPr>
        <w:t>深入开展“江河碧空”蓝天保卫四号行动，</w:t>
      </w:r>
      <w:r>
        <w:rPr>
          <w:rFonts w:hint="eastAsia" w:ascii="方正仿宋_GBK" w:hAnsi="仿宋"/>
          <w:color w:val="000000" w:themeColor="text1"/>
          <w:kern w:val="0"/>
          <w:szCs w:val="32"/>
          <w14:textFill>
            <w14:solidFill>
              <w14:schemeClr w14:val="tx1"/>
            </w14:solidFill>
          </w14:textFill>
        </w:rPr>
        <w:t>全面推进道路运输、工程现场及码头堆场的扬尘管控。</w:t>
      </w:r>
      <w:r>
        <w:rPr>
          <w:rFonts w:hint="eastAsia" w:ascii="方正仿宋_GBK" w:hAnsi="仿宋"/>
          <w:bCs/>
          <w:color w:val="000000" w:themeColor="text1"/>
          <w:szCs w:val="32"/>
          <w14:textFill>
            <w14:solidFill>
              <w14:schemeClr w14:val="tx1"/>
            </w14:solidFill>
          </w14:textFill>
        </w:rPr>
        <w:t>开展</w:t>
      </w:r>
      <w:r>
        <w:rPr>
          <w:rFonts w:hint="eastAsia" w:ascii="方正仿宋_GBK" w:hAnsi="仿宋"/>
          <w:color w:val="000000" w:themeColor="text1"/>
          <w:kern w:val="0"/>
          <w:szCs w:val="32"/>
          <w14:textFill>
            <w14:solidFill>
              <w14:schemeClr w14:val="tx1"/>
            </w14:solidFill>
          </w14:textFill>
        </w:rPr>
        <w:t>船舶污染专项治理、</w:t>
      </w:r>
      <w:r>
        <w:rPr>
          <w:rFonts w:hint="eastAsia" w:ascii="方正仿宋_GBK" w:hAnsi="仿宋"/>
          <w:bCs/>
          <w:color w:val="000000" w:themeColor="text1"/>
          <w:szCs w:val="32"/>
          <w14:textFill>
            <w14:solidFill>
              <w14:schemeClr w14:val="tx1"/>
            </w14:solidFill>
          </w14:textFill>
        </w:rPr>
        <w:t>船舶封舱管理、燃油抽检等各类专项行动，</w:t>
      </w:r>
      <w:r>
        <w:rPr>
          <w:rFonts w:hint="eastAsia" w:ascii="方正仿宋_GBK" w:hAnsi="仿宋"/>
          <w:color w:val="000000" w:themeColor="text1"/>
          <w:szCs w:val="32"/>
          <w14:textFill>
            <w14:solidFill>
              <w14:schemeClr w14:val="tx1"/>
            </w14:solidFill>
          </w14:textFill>
        </w:rPr>
        <w:t>联合多部门印发《宜兴市内河船舶污染物接收、转运、处置监</w:t>
      </w:r>
      <w:r>
        <w:rPr>
          <w:rFonts w:hint="eastAsia" w:ascii="方正仿宋_GBK" w:hAnsi="仿宋"/>
          <w:bCs/>
          <w:color w:val="000000" w:themeColor="text1"/>
          <w:szCs w:val="32"/>
          <w14:textFill>
            <w14:solidFill>
              <w14:schemeClr w14:val="tx1"/>
            </w14:solidFill>
          </w14:textFill>
        </w:rPr>
        <w:t>管联单制度和联合监管制度》形成监管合力。</w:t>
      </w:r>
    </w:p>
    <w:p>
      <w:pPr>
        <w:adjustRightInd w:val="0"/>
        <w:spacing w:line="560" w:lineRule="exact"/>
        <w:ind w:firstLine="640"/>
        <w:textAlignment w:val="baseline"/>
        <w:outlineLvl w:val="3"/>
        <w:rPr>
          <w:rFonts w:ascii="方正楷体_GBK" w:hAnsi="仿宋" w:eastAsia="方正楷体_GBK"/>
          <w:bCs/>
          <w:color w:val="000000" w:themeColor="text1"/>
          <w:szCs w:val="32"/>
          <w14:textFill>
            <w14:solidFill>
              <w14:schemeClr w14:val="tx1"/>
            </w14:solidFill>
          </w14:textFill>
        </w:rPr>
      </w:pPr>
      <w:r>
        <w:rPr>
          <w:rFonts w:hint="eastAsia" w:ascii="方正楷体_GBK" w:hAnsi="仿宋" w:eastAsia="方正楷体_GBK"/>
          <w:bCs/>
          <w:color w:val="000000" w:themeColor="text1"/>
          <w:szCs w:val="32"/>
          <w14:textFill>
            <w14:solidFill>
              <w14:schemeClr w14:val="tx1"/>
            </w14:solidFill>
          </w14:textFill>
        </w:rPr>
        <w:t>4．交通引领经济社会发展成效显著</w:t>
      </w:r>
    </w:p>
    <w:p>
      <w:pPr>
        <w:spacing w:line="560" w:lineRule="exact"/>
        <w:ind w:firstLine="640"/>
        <w:rPr>
          <w:rFonts w:ascii="方正仿宋_GBK" w:hAnsi="仿宋"/>
        </w:rPr>
      </w:pPr>
      <w:r>
        <w:rPr>
          <w:rFonts w:hint="eastAsia" w:ascii="方正仿宋_GBK" w:hAnsi="仿宋"/>
          <w:szCs w:val="28"/>
        </w:rPr>
        <w:t>（1）服务全域旅游效果显著</w:t>
      </w:r>
    </w:p>
    <w:p>
      <w:pPr>
        <w:spacing w:line="560" w:lineRule="exact"/>
        <w:ind w:firstLine="640"/>
        <w:rPr>
          <w:rFonts w:ascii="方正仿宋_GBK" w:hAnsi="仿宋"/>
          <w:szCs w:val="28"/>
        </w:rPr>
      </w:pPr>
      <w:r>
        <w:rPr>
          <w:rFonts w:hint="eastAsia" w:ascii="方正仿宋_GBK" w:hAnsi="仿宋"/>
          <w:szCs w:val="28"/>
        </w:rPr>
        <w:t>全面实施交旅融合战略，打造宜兴市“宜路陶醉”农村公路品牌，在全省第二批农村公路“一县一品牌、一区一特色”评比中获得第二名。</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0" w:firstLineChars="0"/>
              <w:rPr>
                <w:rFonts w:ascii="方正黑体_GBK" w:hAnsi="仿宋" w:eastAsia="方正黑体_GBK"/>
                <w:kern w:val="0"/>
                <w:sz w:val="24"/>
              </w:rPr>
            </w:pPr>
            <w:r>
              <w:rPr>
                <w:rFonts w:hint="eastAsia" w:ascii="方正黑体_GBK" w:hAnsi="仿宋" w:eastAsia="方正黑体_GBK"/>
                <w:kern w:val="0"/>
                <w:sz w:val="28"/>
              </w:rPr>
              <w:t>专栏：宜兴市农村公路“宜路陶醉”特色品牌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8296" w:type="dxa"/>
          </w:tcPr>
          <w:p>
            <w:pPr>
              <w:spacing w:line="560" w:lineRule="exact"/>
              <w:ind w:firstLine="560"/>
              <w:rPr>
                <w:rFonts w:ascii="方正仿宋_GBK" w:hAnsi="仿宋"/>
                <w:kern w:val="0"/>
                <w:sz w:val="28"/>
              </w:rPr>
            </w:pPr>
            <w:r>
              <w:rPr>
                <w:rFonts w:hint="eastAsia" w:ascii="方正仿宋_GBK" w:hAnsi="仿宋"/>
                <w:kern w:val="0"/>
                <w:sz w:val="28"/>
              </w:rPr>
              <w:t>1．品牌类型</w:t>
            </w:r>
          </w:p>
          <w:p>
            <w:pPr>
              <w:spacing w:line="560" w:lineRule="exact"/>
              <w:ind w:firstLine="560"/>
              <w:rPr>
                <w:rFonts w:ascii="方正仿宋_GBK" w:hAnsi="仿宋"/>
                <w:kern w:val="0"/>
                <w:sz w:val="28"/>
              </w:rPr>
            </w:pPr>
            <w:r>
              <w:rPr>
                <w:rFonts w:hint="eastAsia" w:ascii="方正仿宋_GBK" w:hAnsi="仿宋"/>
                <w:kern w:val="0"/>
                <w:sz w:val="28"/>
              </w:rPr>
              <w:t>打造“文旅融合产业带动型”品牌，践行“农村公路+”发展理念，与旅游、生态等深度融合，展现宜兴深厚的文化底蕴，推动农村公路和乡镇特色产业发展，争当全省高质量发展“领跑者”。</w:t>
            </w:r>
          </w:p>
          <w:p>
            <w:pPr>
              <w:spacing w:line="560" w:lineRule="exact"/>
              <w:ind w:firstLine="560"/>
              <w:rPr>
                <w:rFonts w:ascii="方正仿宋_GBK" w:hAnsi="仿宋"/>
                <w:kern w:val="0"/>
                <w:sz w:val="28"/>
              </w:rPr>
            </w:pPr>
            <w:r>
              <w:rPr>
                <w:rFonts w:hint="eastAsia" w:ascii="方正仿宋_GBK" w:hAnsi="仿宋"/>
                <w:kern w:val="0"/>
                <w:sz w:val="28"/>
              </w:rPr>
              <w:t>2．宣传口号</w:t>
            </w:r>
          </w:p>
          <w:p>
            <w:pPr>
              <w:spacing w:line="560" w:lineRule="exact"/>
              <w:ind w:firstLine="560"/>
              <w:rPr>
                <w:rFonts w:ascii="方正仿宋_GBK" w:hAnsi="仿宋"/>
                <w:kern w:val="0"/>
                <w:sz w:val="28"/>
              </w:rPr>
            </w:pPr>
            <w:r>
              <w:rPr>
                <w:rFonts w:hint="eastAsia" w:ascii="方正仿宋_GBK" w:hAnsi="仿宋"/>
                <w:kern w:val="0"/>
                <w:sz w:val="28"/>
              </w:rPr>
              <w:t>将无锡公路有一定影响力的品牌“e路畅行”融入到宣传口号中，明确宣传口号为“e路畅行、宜路陶醉”，在原有的品牌基础上增加丰富品牌内涵，利用无锡市公路品牌加强宜兴市农路品牌的宣传，强强联合，扩大影响力。</w:t>
            </w:r>
          </w:p>
          <w:p>
            <w:pPr>
              <w:spacing w:line="560" w:lineRule="exact"/>
              <w:ind w:firstLine="560"/>
              <w:rPr>
                <w:rFonts w:ascii="方正仿宋_GBK" w:hAnsi="仿宋"/>
                <w:kern w:val="0"/>
                <w:sz w:val="28"/>
              </w:rPr>
            </w:pPr>
            <w:r>
              <w:rPr>
                <w:rFonts w:hint="eastAsia" w:ascii="方正仿宋_GBK" w:hAnsi="仿宋"/>
                <w:kern w:val="0"/>
                <w:sz w:val="28"/>
              </w:rPr>
              <w:t>3．五大特色主题片区</w:t>
            </w:r>
          </w:p>
          <w:p>
            <w:pPr>
              <w:spacing w:line="560" w:lineRule="exact"/>
              <w:ind w:firstLine="560"/>
              <w:rPr>
                <w:rFonts w:ascii="方正仿宋_GBK" w:hAnsi="仿宋"/>
                <w:kern w:val="0"/>
                <w:sz w:val="28"/>
              </w:rPr>
            </w:pPr>
            <w:r>
              <w:rPr>
                <w:rFonts w:hint="eastAsia" w:ascii="方正仿宋_GBK" w:hAnsi="仿宋"/>
                <w:kern w:val="0"/>
                <w:sz w:val="28"/>
              </w:rPr>
              <w:t>根据特色资源分布情况，打造“陶醉湖荡”、“陶醉古镇”、“陶醉水城”、“陶醉陶艺”、“陶醉氧吧”五大特色主题片区。其中，“陶醉湖荡”展现氿荡水乡城乡特色风貌；“陶醉古镇”展现湖渎古镇城乡特色风貌；“陶醉水城”展现东方水城城乡特色风貌；“陶醉陶艺”展现陶都意境城乡特色风貌；“陶醉氧吧”展现龙池茶山城乡特色风貌。</w:t>
            </w:r>
          </w:p>
          <w:p>
            <w:pPr>
              <w:spacing w:line="560" w:lineRule="exact"/>
              <w:ind w:firstLine="560"/>
              <w:rPr>
                <w:rFonts w:ascii="方正仿宋_GBK" w:hAnsi="仿宋"/>
                <w:kern w:val="0"/>
                <w:sz w:val="28"/>
              </w:rPr>
            </w:pPr>
            <w:r>
              <w:rPr>
                <w:rFonts w:hint="eastAsia" w:ascii="方正仿宋_GBK" w:hAnsi="仿宋"/>
                <w:kern w:val="0"/>
                <w:sz w:val="28"/>
              </w:rPr>
              <w:t>4．特色融合的品牌LOGO</w:t>
            </w:r>
          </w:p>
          <w:p>
            <w:pPr>
              <w:spacing w:line="560" w:lineRule="exact"/>
              <w:ind w:firstLine="560"/>
              <w:rPr>
                <w:rFonts w:ascii="方正仿宋_GBK" w:hAnsi="仿宋"/>
                <w:kern w:val="0"/>
                <w:sz w:val="28"/>
              </w:rPr>
            </w:pPr>
            <w:r>
              <w:rPr>
                <w:rFonts w:hint="eastAsia" w:ascii="方正仿宋_GBK" w:hAnsi="仿宋"/>
                <w:kern w:val="0"/>
                <w:sz w:val="28"/>
              </w:rPr>
              <w:t>LOGO形似一只俯视状的紫砂壶，象征着宜兴引以为豪的陶都身份。LOGO色调选用绿色，代表宜兴特色资源茶叶、竹林，道路的颜色则选择了代表紫砂的棕色，总体象征着宜兴农路朝着绿色、人文的发展方向砥砺前行。</w:t>
            </w:r>
          </w:p>
          <w:p>
            <w:pPr>
              <w:spacing w:line="560" w:lineRule="exact"/>
              <w:ind w:firstLine="0" w:firstLineChars="0"/>
              <w:jc w:val="center"/>
              <w:rPr>
                <w:rFonts w:ascii="仿宋" w:hAnsi="仿宋" w:eastAsia="仿宋"/>
                <w:b/>
                <w:kern w:val="0"/>
                <w:sz w:val="24"/>
              </w:rPr>
            </w:pPr>
            <w:r>
              <w:rPr>
                <w:rFonts w:ascii="仿宋" w:hAnsi="仿宋" w:eastAsia="仿宋"/>
                <w:kern w:val="0"/>
              </w:rPr>
              <w:drawing>
                <wp:anchor distT="0" distB="0" distL="114300" distR="114300" simplePos="0" relativeHeight="251659264" behindDoc="0" locked="0" layoutInCell="1" allowOverlap="1">
                  <wp:simplePos x="0" y="0"/>
                  <wp:positionH relativeFrom="column">
                    <wp:posOffset>701040</wp:posOffset>
                  </wp:positionH>
                  <wp:positionV relativeFrom="paragraph">
                    <wp:posOffset>125730</wp:posOffset>
                  </wp:positionV>
                  <wp:extent cx="3733800" cy="1247775"/>
                  <wp:effectExtent l="0" t="0" r="0" b="0"/>
                  <wp:wrapNone/>
                  <wp:docPr id="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733800" cy="1247775"/>
                          </a:xfrm>
                          <a:prstGeom prst="rect">
                            <a:avLst/>
                          </a:prstGeom>
                        </pic:spPr>
                      </pic:pic>
                    </a:graphicData>
                  </a:graphic>
                </wp:anchor>
              </w:drawing>
            </w:r>
          </w:p>
          <w:p>
            <w:pPr>
              <w:spacing w:line="560" w:lineRule="exact"/>
              <w:ind w:firstLine="0" w:firstLineChars="0"/>
              <w:jc w:val="center"/>
              <w:rPr>
                <w:rFonts w:ascii="仿宋" w:hAnsi="仿宋" w:eastAsia="仿宋"/>
                <w:b/>
                <w:kern w:val="0"/>
                <w:sz w:val="28"/>
              </w:rPr>
            </w:pPr>
          </w:p>
          <w:p>
            <w:pPr>
              <w:spacing w:line="560" w:lineRule="exact"/>
              <w:ind w:firstLine="0" w:firstLineChars="0"/>
              <w:rPr>
                <w:rFonts w:ascii="仿宋" w:hAnsi="仿宋" w:eastAsia="仿宋"/>
                <w:b/>
                <w:kern w:val="0"/>
                <w:sz w:val="28"/>
              </w:rPr>
            </w:pPr>
          </w:p>
          <w:p>
            <w:pPr>
              <w:spacing w:line="560" w:lineRule="exact"/>
              <w:ind w:firstLine="0" w:firstLineChars="0"/>
              <w:rPr>
                <w:rFonts w:ascii="仿宋" w:hAnsi="仿宋" w:eastAsia="仿宋"/>
                <w:b/>
                <w:kern w:val="0"/>
                <w:sz w:val="28"/>
              </w:rPr>
            </w:pPr>
          </w:p>
          <w:p>
            <w:pPr>
              <w:spacing w:line="560" w:lineRule="exact"/>
              <w:ind w:firstLine="0" w:firstLineChars="0"/>
              <w:jc w:val="center"/>
              <w:rPr>
                <w:rFonts w:ascii="仿宋" w:hAnsi="仿宋" w:eastAsia="仿宋"/>
                <w:b/>
                <w:kern w:val="0"/>
                <w:sz w:val="24"/>
              </w:rPr>
            </w:pPr>
            <w:r>
              <w:rPr>
                <w:rFonts w:ascii="仿宋" w:hAnsi="仿宋" w:eastAsia="仿宋"/>
                <w:b/>
                <w:kern w:val="0"/>
                <w:sz w:val="28"/>
              </w:rPr>
              <w:t>图1.1  “宜路陶醉”特色品牌Logo</w:t>
            </w:r>
          </w:p>
        </w:tc>
      </w:tr>
    </w:tbl>
    <w:p>
      <w:pPr>
        <w:spacing w:line="560" w:lineRule="exact"/>
        <w:ind w:firstLine="640"/>
        <w:rPr>
          <w:rFonts w:ascii="方正仿宋_GBK" w:hAnsi="仿宋"/>
        </w:rPr>
      </w:pPr>
      <w:r>
        <w:rPr>
          <w:rFonts w:hint="eastAsia" w:ascii="方正仿宋_GBK" w:hAnsi="仿宋"/>
          <w:szCs w:val="28"/>
        </w:rPr>
        <w:t>强</w:t>
      </w:r>
      <w:r>
        <w:rPr>
          <w:rFonts w:hint="eastAsia" w:ascii="方正仿宋_GBK" w:hAnsi="仿宋"/>
        </w:rPr>
        <w:t>化交通运输支撑，推进全域旅游发展。围绕南部山区旅游开发新改建9条旅游公路、打通2处隧道，累计建设旅游公路100余公里，新建绿道20公里；实现了10家3A及以上旅游景区覆盖、不少于100家农家乐覆盖。</w:t>
      </w:r>
    </w:p>
    <w:p>
      <w:pPr>
        <w:spacing w:line="560" w:lineRule="exact"/>
        <w:ind w:firstLine="640"/>
        <w:rPr>
          <w:rFonts w:ascii="方正仿宋_GBK" w:hAnsi="仿宋"/>
          <w:szCs w:val="28"/>
        </w:rPr>
      </w:pPr>
      <w:r>
        <w:rPr>
          <w:rFonts w:hint="eastAsia" w:ascii="方正仿宋_GBK" w:hAnsi="仿宋"/>
        </w:rPr>
        <w:t>投资2000万元在高铁宜兴站改建全域旅游服务中心，打造“畅、洁、舒、美、安”的旅游交通道路体系和便捷的公共服务体系。</w:t>
      </w:r>
    </w:p>
    <w:p>
      <w:pPr>
        <w:spacing w:line="560" w:lineRule="exact"/>
        <w:ind w:firstLine="640"/>
        <w:rPr>
          <w:rFonts w:ascii="方正仿宋_GBK" w:hAnsi="仿宋"/>
          <w:szCs w:val="28"/>
        </w:rPr>
      </w:pPr>
      <w:r>
        <w:rPr>
          <w:rFonts w:hint="eastAsia" w:ascii="方正仿宋_GBK" w:hAnsi="仿宋"/>
          <w:szCs w:val="28"/>
        </w:rPr>
        <w:t>（2）物流体系不断完善</w:t>
      </w:r>
    </w:p>
    <w:p>
      <w:pPr>
        <w:spacing w:line="560" w:lineRule="exact"/>
        <w:ind w:firstLine="640"/>
        <w:rPr>
          <w:rFonts w:ascii="方正仿宋_GBK" w:hAnsi="仿宋"/>
          <w:szCs w:val="28"/>
        </w:rPr>
      </w:pPr>
      <w:r>
        <w:rPr>
          <w:rFonts w:hint="eastAsia" w:ascii="方正仿宋_GBK" w:hAnsi="仿宋"/>
          <w:szCs w:val="28"/>
        </w:rPr>
        <w:t>城乡物流节点覆盖范围持续扩大。通过县乡村三级配送体系建设和农村电商物流双向通道畅通工程，汇全物流建成一级物流中心，华汇农科、天信农资、佳讯物流建成二级物流中心，宜兴新韵快递、申通快递和中通快递共建设乡镇农村物流服务点99处。发展“邮乐购”加盟店405家，实现全市行政村的全覆盖，提升了“农产品进城”和“工业品下乡”城乡共同配送服务能力。</w:t>
      </w:r>
    </w:p>
    <w:p>
      <w:pPr>
        <w:spacing w:line="560" w:lineRule="exact"/>
        <w:ind w:firstLine="640"/>
        <w:rPr>
          <w:rFonts w:ascii="方正仿宋_GBK" w:hAnsi="仿宋"/>
          <w:szCs w:val="28"/>
        </w:rPr>
      </w:pPr>
      <w:r>
        <w:rPr>
          <w:rFonts w:hint="eastAsia" w:ascii="方正仿宋_GBK" w:hAnsi="仿宋"/>
          <w:szCs w:val="28"/>
        </w:rPr>
        <w:t>农村公路物流运作模式不断创新。一是发展市场主导、政府引导的模式，苏合配送和华汇农科通过对接大型连锁商超、餐饮企业、直营店等，实现农超对接、农企对接和直营店销售等运营模式。二是实现以商养运模式，以天信农资为依托，打造电商销售平台，实现农户通过平台直销，通过邮政物流进行全方位配送。</w:t>
      </w:r>
    </w:p>
    <w:p>
      <w:pPr>
        <w:spacing w:line="560" w:lineRule="exact"/>
        <w:ind w:firstLine="640"/>
        <w:rPr>
          <w:rFonts w:ascii="方正仿宋_GBK" w:hAnsi="仿宋"/>
        </w:rPr>
      </w:pPr>
      <w:r>
        <w:rPr>
          <w:rFonts w:hint="eastAsia" w:ascii="方正仿宋_GBK" w:hAnsi="仿宋"/>
          <w:szCs w:val="28"/>
        </w:rPr>
        <w:t>（3）</w:t>
      </w:r>
      <w:r>
        <w:rPr>
          <w:rFonts w:hint="eastAsia" w:ascii="方正仿宋_GBK" w:hAnsi="仿宋"/>
        </w:rPr>
        <w:t>绿色、智慧服务水平显著提高</w:t>
      </w:r>
    </w:p>
    <w:p>
      <w:pPr>
        <w:spacing w:line="560" w:lineRule="exact"/>
        <w:ind w:firstLine="640"/>
        <w:rPr>
          <w:rFonts w:ascii="方正仿宋_GBK" w:hAnsi="仿宋"/>
          <w:szCs w:val="28"/>
        </w:rPr>
      </w:pPr>
      <w:r>
        <w:rPr>
          <w:rFonts w:hint="eastAsia" w:ascii="方正仿宋_GBK" w:hAnsi="仿宋"/>
          <w:szCs w:val="28"/>
        </w:rPr>
        <w:t>一是不断提高公交智能化服务水平。2018年推出了掌上公交APP“宜兴享出行”，乘客通过APP实现实时查询车辆位置、扫码支付，安排出行计划。</w:t>
      </w:r>
    </w:p>
    <w:p>
      <w:pPr>
        <w:spacing w:line="560" w:lineRule="exact"/>
        <w:ind w:firstLine="640"/>
        <w:rPr>
          <w:rFonts w:ascii="方正仿宋_GBK" w:hAnsi="仿宋"/>
          <w:szCs w:val="28"/>
        </w:rPr>
      </w:pPr>
      <w:r>
        <w:rPr>
          <w:rFonts w:hint="eastAsia" w:ascii="方正仿宋_GBK" w:hAnsi="仿宋"/>
        </w:rPr>
        <w:t>二是推动公交电子站牌建设。建成公交电子站牌128个，覆盖人民路全线，以及荆溪路、解放路、阳羡路、太滆路、东山西路等部分公交站点，主要公交走廊电子站牌覆盖率实现100%。</w:t>
      </w:r>
    </w:p>
    <w:p>
      <w:pPr>
        <w:spacing w:line="560" w:lineRule="exact"/>
        <w:ind w:firstLine="640"/>
        <w:rPr>
          <w:rFonts w:ascii="方正仿宋_GBK" w:hAnsi="仿宋"/>
        </w:rPr>
      </w:pPr>
      <w:r>
        <w:rPr>
          <w:rFonts w:hint="eastAsia" w:ascii="方正仿宋_GBK" w:hAnsi="仿宋"/>
          <w:szCs w:val="28"/>
        </w:rPr>
        <w:t>三是</w:t>
      </w:r>
      <w:r>
        <w:rPr>
          <w:rFonts w:hint="eastAsia" w:ascii="方正仿宋_GBK" w:hAnsi="仿宋"/>
        </w:rPr>
        <w:t>继续推广新能源车辆使用。积极响应国家和省有关新能源车辆推广使用的政策要求，新能源和清洁能源公交车达到671辆，占比达到68.8%。</w:t>
      </w:r>
    </w:p>
    <w:p>
      <w:pPr>
        <w:adjustRightInd w:val="0"/>
        <w:spacing w:line="560" w:lineRule="exact"/>
        <w:ind w:firstLine="640"/>
        <w:textAlignment w:val="baseline"/>
        <w:outlineLvl w:val="3"/>
        <w:rPr>
          <w:rFonts w:ascii="方正仿宋_GBK" w:hAnsi="仿宋"/>
          <w:bCs/>
          <w:color w:val="000000" w:themeColor="text1"/>
          <w:szCs w:val="32"/>
          <w14:textFill>
            <w14:solidFill>
              <w14:schemeClr w14:val="tx1"/>
            </w14:solidFill>
          </w14:textFill>
        </w:rPr>
      </w:pPr>
      <w:r>
        <w:rPr>
          <w:rFonts w:hint="eastAsia" w:ascii="方正仿宋_GBK" w:hAnsi="仿宋"/>
          <w:bCs/>
          <w:color w:val="000000" w:themeColor="text1"/>
          <w:szCs w:val="32"/>
          <w14:textFill>
            <w14:solidFill>
              <w14:schemeClr w14:val="tx1"/>
            </w14:solidFill>
          </w14:textFill>
        </w:rPr>
        <w:t>5．品牌示范引领全国领先</w:t>
      </w:r>
    </w:p>
    <w:p>
      <w:pPr>
        <w:spacing w:line="560" w:lineRule="exact"/>
        <w:ind w:firstLine="640"/>
        <w:rPr>
          <w:rFonts w:ascii="方正仿宋_GBK" w:hAnsi="仿宋"/>
        </w:rPr>
      </w:pPr>
      <w:r>
        <w:rPr>
          <w:rFonts w:hint="eastAsia" w:ascii="方正仿宋_GBK" w:hAnsi="仿宋"/>
        </w:rPr>
        <w:t>一是获评“四好农村路”全国示范县。宜兴交通将乡村振兴、全域旅游、文化传承等元素融入“四好农村路”示范县创建，2018年成功创建“四好农村路”省级示范县，2019年获评“四好农村路”全国示范县。</w:t>
      </w:r>
    </w:p>
    <w:p>
      <w:pPr>
        <w:spacing w:line="560" w:lineRule="exact"/>
        <w:ind w:firstLine="640"/>
        <w:rPr>
          <w:rFonts w:ascii="方正仿宋_GBK" w:hAnsi="仿宋"/>
        </w:rPr>
      </w:pPr>
      <w:r>
        <w:rPr>
          <w:rFonts w:hint="eastAsia" w:ascii="方正仿宋_GBK" w:hAnsi="仿宋"/>
        </w:rPr>
        <w:t>二是获评城乡交通运输一体化全国示范县。2017年入围全国首批城乡交通运输一体化示范县，2020年通过交通运输部实地验收。</w:t>
      </w:r>
    </w:p>
    <w:p>
      <w:pPr>
        <w:spacing w:line="560" w:lineRule="exact"/>
        <w:ind w:firstLine="640"/>
        <w:rPr>
          <w:rFonts w:ascii="方正仿宋_GBK" w:hAnsi="仿宋"/>
        </w:rPr>
      </w:pPr>
      <w:r>
        <w:rPr>
          <w:rFonts w:hint="eastAsia" w:ascii="方正仿宋_GBK" w:hAnsi="仿宋"/>
        </w:rPr>
        <w:t>三是入选农村公路管理养护体制改革全国试点。2020年，宜兴交通以“创新养护生产模式”为试点主题通过省级遴选、专家评审等程序，入围交通运输部、财政部联合开展的深化农村公路管理养护体制改革试点工作（全省仅2家县级试点）。</w:t>
      </w:r>
    </w:p>
    <w:p>
      <w:pPr>
        <w:spacing w:line="560" w:lineRule="exact"/>
        <w:ind w:firstLine="640"/>
        <w:rPr>
          <w:rFonts w:ascii="仿宋" w:hAnsi="仿宋" w:eastAsia="仿宋"/>
        </w:rPr>
      </w:pPr>
      <w:r>
        <w:rPr>
          <w:rFonts w:hint="eastAsia" w:ascii="方正仿宋_GBK" w:hAnsi="仿宋"/>
        </w:rPr>
        <w:t>四是获评江苏省农村物流示范县。2020年，宜兴市通过无锡市交通运输局复核、省交通运输厅专家综合评估，获得农村物流领域最高荣誉—“江苏省农村物流示范县”称号。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0" w:firstLineChars="0"/>
              <w:rPr>
                <w:rFonts w:ascii="方正黑体_GBK" w:hAnsi="仿宋" w:eastAsia="方正黑体_GBK"/>
                <w:kern w:val="0"/>
                <w:sz w:val="24"/>
              </w:rPr>
            </w:pPr>
            <w:r>
              <w:rPr>
                <w:rFonts w:hint="eastAsia" w:ascii="方正黑体_GBK" w:hAnsi="仿宋" w:eastAsia="方正黑体_GBK"/>
                <w:kern w:val="0"/>
                <w:sz w:val="28"/>
              </w:rPr>
              <w:t>专栏：宜兴市农村公路管理养护体制改革试点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96" w:type="dxa"/>
          </w:tcPr>
          <w:p>
            <w:pPr>
              <w:spacing w:line="560" w:lineRule="exact"/>
              <w:ind w:firstLine="560"/>
              <w:rPr>
                <w:rFonts w:ascii="方正仿宋_GBK" w:hAnsi="仿宋"/>
                <w:kern w:val="0"/>
                <w:sz w:val="28"/>
              </w:rPr>
            </w:pPr>
            <w:r>
              <w:rPr>
                <w:rFonts w:hint="eastAsia" w:ascii="方正仿宋_GBK" w:hAnsi="仿宋"/>
                <w:kern w:val="0"/>
                <w:sz w:val="28"/>
              </w:rPr>
              <w:t>1．试点主题：创新养护生产模式</w:t>
            </w:r>
          </w:p>
          <w:p>
            <w:pPr>
              <w:spacing w:line="560" w:lineRule="exact"/>
              <w:ind w:firstLine="560"/>
              <w:rPr>
                <w:rFonts w:ascii="方正仿宋_GBK" w:hAnsi="仿宋"/>
                <w:kern w:val="0"/>
                <w:sz w:val="28"/>
              </w:rPr>
            </w:pPr>
            <w:r>
              <w:rPr>
                <w:rFonts w:hint="eastAsia" w:ascii="方正仿宋_GBK" w:hAnsi="仿宋"/>
                <w:kern w:val="0"/>
                <w:sz w:val="28"/>
              </w:rPr>
              <w:t>2．试点内容</w:t>
            </w:r>
          </w:p>
          <w:p>
            <w:pPr>
              <w:spacing w:line="560" w:lineRule="exact"/>
              <w:ind w:firstLine="560"/>
              <w:rPr>
                <w:rFonts w:ascii="方正仿宋_GBK" w:hAnsi="仿宋"/>
                <w:kern w:val="0"/>
                <w:sz w:val="28"/>
              </w:rPr>
            </w:pPr>
            <w:r>
              <w:rPr>
                <w:rFonts w:hint="eastAsia" w:ascii="方正仿宋_GBK" w:hAnsi="仿宋"/>
                <w:kern w:val="0"/>
                <w:sz w:val="28"/>
              </w:rPr>
              <w:t>一是坚持全民参与，实现全民共护。采用以奖代补、以工代赈等方式，积极设立农村公路管理养护公益岗位，充分调动沿线群众的积极性，引导全社会力量积极参与农村公路质量监督、日常管护等工作，实现全民共护。同时，结合宜兴市农村公路品牌（宜路陶醉），进一步深化“农村公路+富民”等模式，全面开展“农村公路品牌提升”活动，不断提升群众参与度、获得感和满意度。</w:t>
            </w:r>
          </w:p>
          <w:p>
            <w:pPr>
              <w:spacing w:line="560" w:lineRule="exact"/>
              <w:ind w:firstLine="560"/>
              <w:rPr>
                <w:rFonts w:ascii="方正仿宋_GBK" w:hAnsi="仿宋"/>
                <w:kern w:val="0"/>
                <w:sz w:val="28"/>
              </w:rPr>
            </w:pPr>
            <w:r>
              <w:rPr>
                <w:rFonts w:hint="eastAsia" w:ascii="方正仿宋_GBK" w:hAnsi="仿宋"/>
                <w:kern w:val="0"/>
                <w:sz w:val="28"/>
              </w:rPr>
              <w:t>二是做好农村公路综合服务站示范创建。结合现有的农村公路综合服务站，拓展功能、延伸服务。农村公路综合服务站的管理实行“条块结合”的方式，对现有的管理权属不作变动，以农村公路建设、养护、应急处置、路政管理、运政管理为主要职能，实现联合巡查、信息共享，为构建畅通、高效、安全、绿色的综合交通运输体系提供坚实的公路交通保障。</w:t>
            </w:r>
          </w:p>
          <w:p>
            <w:pPr>
              <w:spacing w:line="560" w:lineRule="exact"/>
              <w:ind w:firstLine="560"/>
              <w:rPr>
                <w:rFonts w:ascii="方正仿宋_GBK" w:hAnsi="仿宋"/>
                <w:kern w:val="0"/>
                <w:sz w:val="28"/>
              </w:rPr>
            </w:pPr>
            <w:r>
              <w:rPr>
                <w:rFonts w:hint="eastAsia" w:ascii="方正仿宋_GBK" w:hAnsi="仿宋"/>
                <w:kern w:val="0"/>
                <w:sz w:val="28"/>
              </w:rPr>
              <w:t>三是开发、运用农村公路养护“慧考核”。进一步开发“慧考核”APP，采用工作流引擎驱动农村公路养护及时化、标准化、精细化。在日常巡查考核中，对考核人员在巡查中发现的路面病害、桥梁隐患、安全标识等问题，利用图片、视频等数据化处理问题单后，通过移动端云平台上传和下达至公路养护管理部门及各乡镇养护单位督促处理。后期将进一步构建农路信息管理系统，依托GIS地理信息开发，通过电子地图展示宜兴市范围内农村公路的基本情况。通过地图数据，把人员监管、路况信息、桥梁信息、隧道信息等都统一到一张地图上，实现部门协同、信息共享，打造农村公路“智慧养护”一张图，进行实行农村公路“慧数据”、桥梁“慧监控”、安全隐患处理的“慧安全”等一系列的信息化数据库，实现实时监控、动态管理。</w:t>
            </w:r>
          </w:p>
          <w:p>
            <w:pPr>
              <w:spacing w:line="560" w:lineRule="exact"/>
              <w:ind w:firstLine="560"/>
              <w:rPr>
                <w:rFonts w:ascii="方正仿宋_GBK" w:hAnsi="仿宋"/>
                <w:kern w:val="0"/>
                <w:sz w:val="28"/>
              </w:rPr>
            </w:pPr>
            <w:r>
              <w:rPr>
                <w:rFonts w:hint="eastAsia" w:ascii="方正仿宋_GBK" w:hAnsi="仿宋"/>
                <w:kern w:val="0"/>
                <w:sz w:val="28"/>
              </w:rPr>
              <w:t>3．计划进度</w:t>
            </w:r>
          </w:p>
          <w:p>
            <w:pPr>
              <w:spacing w:line="560" w:lineRule="exact"/>
              <w:ind w:firstLine="560"/>
              <w:rPr>
                <w:rFonts w:ascii="方正仿宋_GBK" w:hAnsi="仿宋"/>
                <w:kern w:val="0"/>
                <w:sz w:val="28"/>
              </w:rPr>
            </w:pPr>
            <w:r>
              <w:rPr>
                <w:rFonts w:hint="eastAsia" w:ascii="方正仿宋_GBK" w:hAnsi="仿宋"/>
                <w:kern w:val="0"/>
                <w:sz w:val="28"/>
              </w:rPr>
              <w:t>试点工作计划2020年4月开始，2021年7月出台宜兴市农村公路管理养护体制改革实施意见，2021年、2022年、2023年的12月底前分别形成当年的试点情况报告，2023年12月底前形成三年试点工作总结报告。</w:t>
            </w:r>
          </w:p>
          <w:p>
            <w:pPr>
              <w:spacing w:line="560" w:lineRule="exact"/>
              <w:ind w:firstLine="560"/>
              <w:rPr>
                <w:rFonts w:ascii="方正仿宋_GBK" w:hAnsi="仿宋"/>
                <w:kern w:val="0"/>
                <w:sz w:val="28"/>
              </w:rPr>
            </w:pPr>
            <w:r>
              <w:rPr>
                <w:rFonts w:hint="eastAsia" w:ascii="方正仿宋_GBK" w:hAnsi="仿宋"/>
                <w:kern w:val="0"/>
                <w:sz w:val="28"/>
              </w:rPr>
              <w:t>4．试点成果</w:t>
            </w:r>
          </w:p>
          <w:p>
            <w:pPr>
              <w:spacing w:line="560" w:lineRule="exact"/>
              <w:ind w:firstLine="560"/>
              <w:rPr>
                <w:rFonts w:ascii="方正仿宋_GBK" w:hAnsi="仿宋"/>
                <w:kern w:val="0"/>
                <w:sz w:val="28"/>
              </w:rPr>
            </w:pPr>
            <w:r>
              <w:rPr>
                <w:rFonts w:hint="eastAsia" w:ascii="方正仿宋_GBK" w:hAnsi="仿宋"/>
                <w:kern w:val="0"/>
                <w:sz w:val="28"/>
              </w:rPr>
              <w:t>《宜兴市2021年、2022年、2023年试点情况报告》；</w:t>
            </w:r>
          </w:p>
          <w:p>
            <w:pPr>
              <w:spacing w:line="560" w:lineRule="exact"/>
              <w:ind w:firstLine="560"/>
              <w:rPr>
                <w:rFonts w:ascii="方正仿宋_GBK" w:hAnsi="仿宋"/>
                <w:kern w:val="0"/>
                <w:sz w:val="28"/>
              </w:rPr>
            </w:pPr>
            <w:r>
              <w:rPr>
                <w:rFonts w:hint="eastAsia" w:ascii="方正仿宋_GBK" w:hAnsi="仿宋"/>
                <w:kern w:val="0"/>
                <w:sz w:val="28"/>
              </w:rPr>
              <w:t>《宜兴市三年试点工作总结报告》；</w:t>
            </w:r>
          </w:p>
          <w:p>
            <w:pPr>
              <w:spacing w:line="560" w:lineRule="exact"/>
              <w:ind w:firstLine="560"/>
              <w:rPr>
                <w:rFonts w:ascii="方正仿宋_GBK" w:hAnsi="仿宋"/>
                <w:kern w:val="0"/>
                <w:sz w:val="28"/>
              </w:rPr>
            </w:pPr>
            <w:r>
              <w:rPr>
                <w:rFonts w:hint="eastAsia" w:ascii="方正仿宋_GBK" w:hAnsi="仿宋"/>
                <w:kern w:val="0"/>
                <w:sz w:val="28"/>
              </w:rPr>
              <w:t>《宜兴市农村公路管理养护体制改革实施意见》；</w:t>
            </w:r>
          </w:p>
          <w:p>
            <w:pPr>
              <w:spacing w:line="560" w:lineRule="exact"/>
              <w:ind w:firstLine="560"/>
              <w:rPr>
                <w:rFonts w:ascii="方正仿宋_GBK" w:hAnsi="仿宋"/>
                <w:kern w:val="0"/>
                <w:sz w:val="28"/>
              </w:rPr>
            </w:pPr>
            <w:r>
              <w:rPr>
                <w:rFonts w:hint="eastAsia" w:ascii="方正仿宋_GBK" w:hAnsi="仿宋"/>
                <w:kern w:val="0"/>
                <w:sz w:val="28"/>
              </w:rPr>
              <w:t>《宜兴市农村公路路长制实施方案》；</w:t>
            </w:r>
          </w:p>
          <w:p>
            <w:pPr>
              <w:spacing w:line="560" w:lineRule="exact"/>
              <w:ind w:firstLine="560"/>
              <w:rPr>
                <w:rFonts w:ascii="仿宋" w:hAnsi="仿宋" w:eastAsia="仿宋"/>
                <w:kern w:val="0"/>
                <w:sz w:val="28"/>
              </w:rPr>
            </w:pPr>
            <w:r>
              <w:rPr>
                <w:rFonts w:hint="eastAsia" w:ascii="方正仿宋_GBK" w:hAnsi="仿宋"/>
                <w:kern w:val="0"/>
                <w:sz w:val="28"/>
              </w:rPr>
              <w:t>《宜兴市农村公路养护管理标准和检查考核办法》。</w:t>
            </w:r>
          </w:p>
        </w:tc>
      </w:tr>
    </w:tbl>
    <w:p>
      <w:pPr>
        <w:adjustRightInd w:val="0"/>
        <w:spacing w:line="560" w:lineRule="exact"/>
        <w:ind w:firstLine="640"/>
        <w:textAlignment w:val="baseline"/>
        <w:outlineLvl w:val="3"/>
        <w:rPr>
          <w:rFonts w:ascii="方正仿宋_GBK" w:hAnsi="仿宋"/>
          <w:bCs/>
          <w:color w:val="000000" w:themeColor="text1"/>
          <w:szCs w:val="32"/>
          <w14:textFill>
            <w14:solidFill>
              <w14:schemeClr w14:val="tx1"/>
            </w14:solidFill>
          </w14:textFill>
        </w:rPr>
      </w:pPr>
      <w:r>
        <w:rPr>
          <w:rFonts w:hint="eastAsia" w:ascii="方正仿宋_GBK" w:hAnsi="仿宋"/>
          <w:bCs/>
          <w:color w:val="000000" w:themeColor="text1"/>
          <w:szCs w:val="32"/>
          <w14:textFill>
            <w14:solidFill>
              <w14:schemeClr w14:val="tx1"/>
            </w14:solidFill>
          </w14:textFill>
        </w:rPr>
        <w:t>6．“十三五”指标完成情况</w:t>
      </w:r>
    </w:p>
    <w:p>
      <w:pPr>
        <w:spacing w:line="560" w:lineRule="exact"/>
        <w:ind w:firstLine="640"/>
        <w:rPr>
          <w:rFonts w:ascii="方正仿宋_GBK" w:hAnsi="仿宋"/>
        </w:rPr>
        <w:sectPr>
          <w:headerReference r:id="rId5" w:type="default"/>
          <w:footerReference r:id="rId6" w:type="default"/>
          <w:pgSz w:w="11900" w:h="16840"/>
          <w:pgMar w:top="1440" w:right="1797" w:bottom="1440" w:left="1797" w:header="720" w:footer="720" w:gutter="0"/>
          <w:pgNumType w:fmt="numberInDash"/>
          <w:cols w:space="425" w:num="1"/>
          <w:docGrid w:linePitch="286" w:charSpace="0"/>
        </w:sectPr>
      </w:pPr>
      <w:r>
        <w:rPr>
          <w:rFonts w:hint="eastAsia" w:ascii="方正仿宋_GBK" w:hAnsi="仿宋"/>
        </w:rPr>
        <w:t>对照宜兴市“十三五”综合交通运输发展规划中的指标，分析“十三五”规划目标的完成情况。截至2020年底，16项主要指标中有13项指标达成目标，有3项指标完成度81%~95%，但比“十二五”末期均有所提高。</w:t>
      </w:r>
    </w:p>
    <w:p>
      <w:pPr>
        <w:spacing w:before="120" w:beforeLines="50" w:line="240" w:lineRule="auto"/>
        <w:ind w:firstLine="0" w:firstLineChars="0"/>
        <w:jc w:val="center"/>
        <w:rPr>
          <w:rFonts w:ascii="仿宋" w:hAnsi="仿宋" w:eastAsia="仿宋"/>
          <w:b/>
          <w:sz w:val="28"/>
        </w:rPr>
      </w:pPr>
      <w:r>
        <w:rPr>
          <w:rFonts w:ascii="仿宋" w:hAnsi="仿宋" w:eastAsia="仿宋"/>
          <w:b/>
          <w:sz w:val="28"/>
        </w:rPr>
        <w:t>表1-1“十三五”规划指标完成情况表</w:t>
      </w:r>
    </w:p>
    <w:p>
      <w:pPr>
        <w:spacing w:before="120" w:beforeLines="50" w:line="240" w:lineRule="auto"/>
        <w:ind w:firstLine="0" w:firstLineChars="0"/>
        <w:jc w:val="center"/>
        <w:rPr>
          <w:rFonts w:hint="eastAsia" w:ascii="仿宋" w:hAnsi="仿宋" w:eastAsia="仿宋"/>
          <w:b/>
          <w:sz w:val="28"/>
        </w:rPr>
      </w:pPr>
    </w:p>
    <w:tbl>
      <w:tblPr>
        <w:tblStyle w:val="26"/>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3"/>
        <w:gridCol w:w="1667"/>
        <w:gridCol w:w="3905"/>
        <w:gridCol w:w="1276"/>
        <w:gridCol w:w="1588"/>
        <w:gridCol w:w="1628"/>
        <w:gridCol w:w="1670"/>
        <w:gridCol w:w="152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322" w:type="pct"/>
            <w:shd w:val="clear" w:color="auto" w:fill="auto"/>
            <w:vAlign w:val="center"/>
          </w:tcPr>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kern w:val="0"/>
                <w:sz w:val="28"/>
                <w:szCs w:val="28"/>
              </w:rPr>
              <w:t>类别</w:t>
            </w:r>
          </w:p>
        </w:tc>
        <w:tc>
          <w:tcPr>
            <w:tcW w:w="588" w:type="pct"/>
            <w:shd w:val="clear" w:color="auto" w:fill="auto"/>
            <w:vAlign w:val="center"/>
          </w:tcPr>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kern w:val="0"/>
                <w:sz w:val="28"/>
                <w:szCs w:val="28"/>
              </w:rPr>
              <w:t>指标类别</w:t>
            </w:r>
          </w:p>
        </w:tc>
        <w:tc>
          <w:tcPr>
            <w:tcW w:w="1377" w:type="pct"/>
            <w:shd w:val="clear" w:color="auto" w:fill="auto"/>
            <w:vAlign w:val="center"/>
          </w:tcPr>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kern w:val="0"/>
                <w:sz w:val="28"/>
                <w:szCs w:val="28"/>
              </w:rPr>
              <w:t>具体指标</w:t>
            </w:r>
          </w:p>
        </w:tc>
        <w:tc>
          <w:tcPr>
            <w:tcW w:w="450" w:type="pct"/>
            <w:shd w:val="clear" w:color="auto" w:fill="auto"/>
            <w:vAlign w:val="center"/>
          </w:tcPr>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kern w:val="0"/>
                <w:sz w:val="28"/>
                <w:szCs w:val="28"/>
              </w:rPr>
              <w:t>单位</w:t>
            </w:r>
          </w:p>
        </w:tc>
        <w:tc>
          <w:tcPr>
            <w:tcW w:w="560" w:type="pct"/>
            <w:shd w:val="clear" w:color="auto" w:fill="auto"/>
            <w:vAlign w:val="center"/>
          </w:tcPr>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kern w:val="0"/>
                <w:sz w:val="28"/>
                <w:szCs w:val="28"/>
              </w:rPr>
              <w:t>2020年</w:t>
            </w:r>
          </w:p>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kern w:val="0"/>
                <w:sz w:val="28"/>
                <w:szCs w:val="28"/>
              </w:rPr>
              <w:t>目标值</w:t>
            </w:r>
          </w:p>
        </w:tc>
        <w:tc>
          <w:tcPr>
            <w:tcW w:w="574" w:type="pct"/>
            <w:shd w:val="clear" w:color="auto" w:fill="auto"/>
            <w:vAlign w:val="center"/>
          </w:tcPr>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kern w:val="0"/>
                <w:sz w:val="28"/>
                <w:szCs w:val="28"/>
              </w:rPr>
              <w:t>中期评估</w:t>
            </w:r>
          </w:p>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kern w:val="0"/>
                <w:sz w:val="28"/>
                <w:szCs w:val="28"/>
              </w:rPr>
              <w:t>调整值</w:t>
            </w:r>
          </w:p>
        </w:tc>
        <w:tc>
          <w:tcPr>
            <w:tcW w:w="589" w:type="pct"/>
            <w:shd w:val="clear" w:color="auto" w:fill="auto"/>
            <w:vAlign w:val="center"/>
          </w:tcPr>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kern w:val="0"/>
                <w:sz w:val="28"/>
                <w:szCs w:val="28"/>
              </w:rPr>
              <w:t>2020年</w:t>
            </w:r>
          </w:p>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kern w:val="0"/>
                <w:sz w:val="28"/>
                <w:szCs w:val="28"/>
              </w:rPr>
              <w:t>达到值</w:t>
            </w:r>
          </w:p>
        </w:tc>
        <w:tc>
          <w:tcPr>
            <w:tcW w:w="539" w:type="pct"/>
            <w:vAlign w:val="center"/>
          </w:tcPr>
          <w:p>
            <w:pPr>
              <w:widowControl/>
              <w:spacing w:line="240" w:lineRule="auto"/>
              <w:ind w:firstLine="0" w:firstLineChars="0"/>
              <w:jc w:val="center"/>
              <w:rPr>
                <w:rFonts w:ascii="方正黑体_GBK" w:hAnsi="仿宋" w:eastAsia="方正黑体_GBK"/>
                <w:bCs/>
                <w:kern w:val="0"/>
                <w:sz w:val="28"/>
                <w:szCs w:val="28"/>
              </w:rPr>
            </w:pPr>
            <w:r>
              <w:rPr>
                <w:rFonts w:hint="eastAsia" w:ascii="方正黑体_GBK" w:hAnsi="仿宋" w:eastAsia="方正黑体_GBK"/>
                <w:bCs/>
                <w:color w:val="000000"/>
                <w:sz w:val="28"/>
                <w:szCs w:val="28"/>
              </w:rPr>
              <w:t>完成比例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22" w:type="pct"/>
            <w:vMerge w:val="restar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交通基础设施体系</w:t>
            </w:r>
          </w:p>
        </w:tc>
        <w:tc>
          <w:tcPr>
            <w:tcW w:w="588" w:type="pct"/>
            <w:vMerge w:val="restar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1.网络水平</w:t>
            </w: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（1）国省道公路乡镇覆盖率</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continue"/>
            <w:vAlign w:val="center"/>
          </w:tcPr>
          <w:p>
            <w:pPr>
              <w:widowControl/>
              <w:spacing w:line="240" w:lineRule="auto"/>
              <w:ind w:firstLine="0" w:firstLineChars="0"/>
              <w:jc w:val="left"/>
              <w:rPr>
                <w:rFonts w:ascii="方正仿宋_GBK" w:hAnsi="仿宋"/>
                <w:kern w:val="0"/>
                <w:sz w:val="28"/>
                <w:szCs w:val="28"/>
              </w:rPr>
            </w:pP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（2）镇村道路两车道四级公路以上占比</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60</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60</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66.9</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111.5%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restar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2.设施维护水平</w:t>
            </w: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（3）普通国省公路优等路率</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98</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95</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95.0%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continue"/>
            <w:vAlign w:val="center"/>
          </w:tcPr>
          <w:p>
            <w:pPr>
              <w:widowControl/>
              <w:spacing w:line="240" w:lineRule="auto"/>
              <w:ind w:firstLine="0" w:firstLineChars="0"/>
              <w:jc w:val="left"/>
              <w:rPr>
                <w:rFonts w:ascii="方正仿宋_GBK" w:hAnsi="仿宋"/>
                <w:kern w:val="0"/>
                <w:sz w:val="28"/>
                <w:szCs w:val="28"/>
              </w:rPr>
            </w:pP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（4）县道乡村道公路优良路率</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85</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85</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85</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continue"/>
            <w:vAlign w:val="center"/>
          </w:tcPr>
          <w:p>
            <w:pPr>
              <w:widowControl/>
              <w:spacing w:line="240" w:lineRule="auto"/>
              <w:ind w:firstLine="0" w:firstLineChars="0"/>
              <w:jc w:val="left"/>
              <w:rPr>
                <w:rFonts w:ascii="方正仿宋_GBK" w:hAnsi="仿宋"/>
                <w:kern w:val="0"/>
                <w:sz w:val="28"/>
                <w:szCs w:val="28"/>
              </w:rPr>
            </w:pP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（5）道路客运班车公司化率</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continue"/>
            <w:vAlign w:val="center"/>
          </w:tcPr>
          <w:p>
            <w:pPr>
              <w:widowControl/>
              <w:spacing w:line="240" w:lineRule="auto"/>
              <w:ind w:firstLine="0" w:firstLineChars="0"/>
              <w:jc w:val="left"/>
              <w:rPr>
                <w:rFonts w:ascii="方正仿宋_GBK" w:hAnsi="仿宋"/>
                <w:kern w:val="0"/>
                <w:sz w:val="28"/>
                <w:szCs w:val="28"/>
              </w:rPr>
            </w:pP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（6）中高级客车占营运客车比例</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95</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95</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39" w:type="pct"/>
            <w:vAlign w:val="center"/>
          </w:tcPr>
          <w:p>
            <w:pPr>
              <w:widowControl/>
              <w:spacing w:line="240" w:lineRule="auto"/>
              <w:ind w:firstLine="0" w:firstLineChars="0"/>
              <w:jc w:val="center"/>
              <w:rPr>
                <w:rFonts w:ascii="方正仿宋_GBK" w:hAnsi="仿宋"/>
                <w:color w:val="000000"/>
                <w:sz w:val="28"/>
                <w:szCs w:val="28"/>
              </w:rPr>
            </w:pPr>
            <w:r>
              <w:rPr>
                <w:rFonts w:hint="eastAsia" w:ascii="方正仿宋_GBK" w:hAnsi="仿宋"/>
                <w:kern w:val="0"/>
                <w:sz w:val="28"/>
                <w:szCs w:val="28"/>
              </w:rPr>
              <w:t>105.3%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continue"/>
            <w:vAlign w:val="center"/>
          </w:tcPr>
          <w:p>
            <w:pPr>
              <w:widowControl/>
              <w:spacing w:line="240" w:lineRule="auto"/>
              <w:ind w:firstLine="0" w:firstLineChars="0"/>
              <w:jc w:val="left"/>
              <w:rPr>
                <w:rFonts w:ascii="方正仿宋_GBK" w:hAnsi="仿宋"/>
                <w:kern w:val="0"/>
                <w:sz w:val="28"/>
                <w:szCs w:val="28"/>
              </w:rPr>
            </w:pP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（7）公交站点覆盖率（城市500M农村1000M）</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95</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95</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99.5</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104.7%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continue"/>
            <w:vAlign w:val="center"/>
          </w:tcPr>
          <w:p>
            <w:pPr>
              <w:widowControl/>
              <w:spacing w:line="240" w:lineRule="auto"/>
              <w:ind w:firstLine="0" w:firstLineChars="0"/>
              <w:jc w:val="left"/>
              <w:rPr>
                <w:rFonts w:ascii="方正仿宋_GBK" w:hAnsi="仿宋"/>
                <w:kern w:val="0"/>
                <w:sz w:val="28"/>
                <w:szCs w:val="28"/>
              </w:rPr>
            </w:pP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（8）城市万人公交车辆保有量</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标台</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16</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16</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16.2</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101.3%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4.城乡客运服务水平</w:t>
            </w: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（9）镇村公交开通率</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322" w:type="pct"/>
            <w:vMerge w:val="restar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交通运输治理体系</w:t>
            </w:r>
          </w:p>
        </w:tc>
        <w:tc>
          <w:tcPr>
            <w:tcW w:w="588" w:type="pct"/>
            <w:vMerge w:val="restar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5.设施运行信息化水平</w:t>
            </w: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（10）普通国省公路重要节点监测覆盖率</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continue"/>
            <w:vAlign w:val="center"/>
          </w:tcPr>
          <w:p>
            <w:pPr>
              <w:widowControl/>
              <w:spacing w:line="240" w:lineRule="auto"/>
              <w:ind w:firstLine="0" w:firstLineChars="0"/>
              <w:jc w:val="left"/>
              <w:rPr>
                <w:rFonts w:ascii="方正仿宋_GBK" w:hAnsi="仿宋"/>
                <w:kern w:val="0"/>
                <w:sz w:val="28"/>
                <w:szCs w:val="28"/>
              </w:rPr>
            </w:pP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（11）城市主要公交走廊公交电子站牌覆盖率</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90</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restar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6.从业人员素质</w:t>
            </w: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（12）高级专业技术人才占专业技术人才比例</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12</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12</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9.9</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82.5%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continue"/>
            <w:vAlign w:val="center"/>
          </w:tcPr>
          <w:p>
            <w:pPr>
              <w:widowControl/>
              <w:spacing w:line="240" w:lineRule="auto"/>
              <w:ind w:firstLine="0" w:firstLineChars="0"/>
              <w:jc w:val="left"/>
              <w:rPr>
                <w:rFonts w:ascii="方正仿宋_GBK" w:hAnsi="仿宋"/>
                <w:kern w:val="0"/>
                <w:sz w:val="28"/>
                <w:szCs w:val="28"/>
              </w:rPr>
            </w:pP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（13）执法人员大专以上文化程度比例</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restar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7.安全应急水平</w:t>
            </w: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（14）水上搜救成功率</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100</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vMerge w:val="continue"/>
            <w:vAlign w:val="center"/>
          </w:tcPr>
          <w:p>
            <w:pPr>
              <w:widowControl/>
              <w:spacing w:line="240" w:lineRule="auto"/>
              <w:ind w:firstLine="0" w:firstLineChars="0"/>
              <w:jc w:val="left"/>
              <w:rPr>
                <w:rFonts w:ascii="方正仿宋_GBK" w:hAnsi="仿宋"/>
                <w:kern w:val="0"/>
                <w:sz w:val="28"/>
                <w:szCs w:val="28"/>
              </w:rPr>
            </w:pP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（15）公路应急响应启动时间</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小时</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1</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100.0%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322" w:type="pct"/>
            <w:vMerge w:val="continue"/>
            <w:vAlign w:val="center"/>
          </w:tcPr>
          <w:p>
            <w:pPr>
              <w:widowControl/>
              <w:spacing w:line="240" w:lineRule="auto"/>
              <w:ind w:firstLine="0" w:firstLineChars="0"/>
              <w:jc w:val="left"/>
              <w:rPr>
                <w:rFonts w:ascii="方正仿宋_GBK" w:hAnsi="仿宋"/>
                <w:kern w:val="0"/>
                <w:sz w:val="28"/>
                <w:szCs w:val="28"/>
              </w:rPr>
            </w:pPr>
          </w:p>
        </w:tc>
        <w:tc>
          <w:tcPr>
            <w:tcW w:w="588"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8.绿色发展水平</w:t>
            </w:r>
          </w:p>
        </w:tc>
        <w:tc>
          <w:tcPr>
            <w:tcW w:w="1377" w:type="pct"/>
            <w:shd w:val="clear" w:color="auto" w:fill="auto"/>
            <w:vAlign w:val="center"/>
          </w:tcPr>
          <w:p>
            <w:pPr>
              <w:widowControl/>
              <w:spacing w:line="240" w:lineRule="auto"/>
              <w:ind w:firstLine="0" w:firstLineChars="0"/>
              <w:rPr>
                <w:rFonts w:ascii="方正仿宋_GBK" w:hAnsi="仿宋"/>
                <w:kern w:val="0"/>
                <w:sz w:val="28"/>
                <w:szCs w:val="28"/>
              </w:rPr>
            </w:pPr>
            <w:r>
              <w:rPr>
                <w:rFonts w:hint="eastAsia" w:ascii="方正仿宋_GBK" w:hAnsi="仿宋"/>
                <w:kern w:val="0"/>
                <w:sz w:val="28"/>
                <w:szCs w:val="28"/>
              </w:rPr>
              <w:t>（16）清洁能源及新能源公交车占比</w:t>
            </w:r>
          </w:p>
        </w:tc>
        <w:tc>
          <w:tcPr>
            <w:tcW w:w="45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w:t>
            </w:r>
          </w:p>
        </w:tc>
        <w:tc>
          <w:tcPr>
            <w:tcW w:w="560"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80</w:t>
            </w:r>
          </w:p>
        </w:tc>
        <w:tc>
          <w:tcPr>
            <w:tcW w:w="574"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80</w:t>
            </w:r>
          </w:p>
        </w:tc>
        <w:tc>
          <w:tcPr>
            <w:tcW w:w="589" w:type="pct"/>
            <w:shd w:val="clear" w:color="auto" w:fill="auto"/>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kern w:val="0"/>
                <w:sz w:val="28"/>
                <w:szCs w:val="28"/>
              </w:rPr>
              <w:t>68.8</w:t>
            </w:r>
          </w:p>
        </w:tc>
        <w:tc>
          <w:tcPr>
            <w:tcW w:w="539" w:type="pct"/>
            <w:vAlign w:val="center"/>
          </w:tcPr>
          <w:p>
            <w:pPr>
              <w:widowControl/>
              <w:spacing w:line="240" w:lineRule="auto"/>
              <w:ind w:firstLine="0" w:firstLineChars="0"/>
              <w:jc w:val="center"/>
              <w:rPr>
                <w:rFonts w:ascii="方正仿宋_GBK" w:hAnsi="仿宋"/>
                <w:kern w:val="0"/>
                <w:sz w:val="28"/>
                <w:szCs w:val="28"/>
              </w:rPr>
            </w:pPr>
            <w:r>
              <w:rPr>
                <w:rFonts w:hint="eastAsia" w:ascii="方正仿宋_GBK" w:hAnsi="仿宋"/>
                <w:color w:val="000000"/>
                <w:sz w:val="28"/>
                <w:szCs w:val="28"/>
              </w:rPr>
              <w:t>86%</w:t>
            </w:r>
          </w:p>
        </w:tc>
      </w:tr>
    </w:tbl>
    <w:p>
      <w:pPr>
        <w:pStyle w:val="3"/>
        <w:spacing w:before="120" w:after="120"/>
        <w:ind w:firstLine="640"/>
        <w:rPr>
          <w:rFonts w:ascii="仿宋" w:hAnsi="仿宋" w:eastAsia="仿宋"/>
        </w:rPr>
        <w:sectPr>
          <w:pgSz w:w="16840" w:h="11900" w:orient="landscape"/>
          <w:pgMar w:top="1797" w:right="1440" w:bottom="1797" w:left="1440" w:header="720" w:footer="720" w:gutter="0"/>
          <w:pgNumType w:fmt="numberInDash"/>
          <w:cols w:space="425" w:num="1"/>
          <w:docGrid w:linePitch="435" w:charSpace="0"/>
        </w:sectPr>
      </w:pPr>
    </w:p>
    <w:p>
      <w:pPr>
        <w:spacing w:line="560" w:lineRule="exact"/>
        <w:ind w:firstLine="640"/>
        <w:rPr>
          <w:rFonts w:ascii="方正楷体_GBK" w:eastAsia="方正楷体_GBK"/>
          <w:iCs/>
        </w:rPr>
      </w:pPr>
      <w:bookmarkStart w:id="2" w:name="_Toc81426661"/>
      <w:r>
        <w:rPr>
          <w:rFonts w:hint="eastAsia" w:ascii="方正楷体_GBK" w:eastAsia="方正楷体_GBK"/>
        </w:rPr>
        <w:t>（二）存在问题</w:t>
      </w:r>
      <w:bookmarkEnd w:id="2"/>
    </w:p>
    <w:p>
      <w:pPr>
        <w:spacing w:line="560" w:lineRule="exact"/>
        <w:ind w:firstLine="640"/>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1．服务区域一体化的能力仍需提升</w:t>
      </w:r>
    </w:p>
    <w:p>
      <w:pPr>
        <w:spacing w:line="560" w:lineRule="exact"/>
        <w:ind w:firstLine="640"/>
        <w:rPr>
          <w:rFonts w:ascii="方正仿宋_GBK"/>
          <w:snapToGrid w:val="0"/>
        </w:rPr>
      </w:pPr>
      <w:r>
        <w:rPr>
          <w:rFonts w:hint="eastAsia" w:ascii="方正仿宋_GBK"/>
          <w:szCs w:val="32"/>
        </w:rPr>
        <w:t>一是对外通道需要进一步提升通行能力和服务水平。宁杭通道通行能力需要提升，104国道穿越城区且比较拥堵，2020年仅达到四级服务水平。常宜通道高快一体路网体系尚未建成，常宜高速南延和范蠡大道至青洋快速路的快速通道需要打通。锡宜通道服务能力需要加强，盐泰锡常宜高铁、锡宜城际轨道S2尚未开工，范蠡大道至宜马快速通道需要加快建设，锡宜高速需要进一步扩容。</w:t>
      </w:r>
    </w:p>
    <w:p>
      <w:pPr>
        <w:spacing w:line="560" w:lineRule="exact"/>
        <w:ind w:firstLine="640"/>
        <w:rPr>
          <w:rFonts w:ascii="方正仿宋_GBK"/>
          <w:color w:val="000000" w:themeColor="text1"/>
          <w:szCs w:val="32"/>
          <w14:textFill>
            <w14:solidFill>
              <w14:schemeClr w14:val="tx1"/>
            </w14:solidFill>
          </w14:textFill>
        </w:rPr>
      </w:pPr>
      <w:r>
        <w:rPr>
          <w:rFonts w:hint="eastAsia" w:ascii="方正仿宋_GBK"/>
          <w:snapToGrid w:val="0"/>
        </w:rPr>
        <w:t>二是规划省道需要加快落地。《江苏省省道公路网规划（2011－2020年）》已经发布10年，宜兴市规划的S341、S360还未建成，</w:t>
      </w:r>
      <w:r>
        <w:rPr>
          <w:rFonts w:hint="eastAsia" w:ascii="方正仿宋_GBK"/>
          <w:szCs w:val="32"/>
        </w:rPr>
        <w:t>需要加快推进普通国省道建设，</w:t>
      </w:r>
      <w:r>
        <w:rPr>
          <w:rFonts w:hint="eastAsia" w:ascii="方正仿宋_GBK"/>
          <w:color w:val="000000" w:themeColor="text1"/>
          <w:szCs w:val="32"/>
          <w14:textFill>
            <w14:solidFill>
              <w14:schemeClr w14:val="tx1"/>
            </w14:solidFill>
          </w14:textFill>
        </w:rPr>
        <w:t>持续提升与周边城市的互联互通水平。</w:t>
      </w:r>
    </w:p>
    <w:p>
      <w:pPr>
        <w:spacing w:line="560" w:lineRule="exact"/>
        <w:ind w:firstLine="640"/>
        <w:rPr>
          <w:rFonts w:ascii="方正仿宋_GBK"/>
          <w:snapToGrid w:val="0"/>
        </w:rPr>
      </w:pPr>
      <w:r>
        <w:rPr>
          <w:rFonts w:hint="eastAsia" w:ascii="方正仿宋_GBK"/>
          <w:snapToGrid w:val="0"/>
        </w:rPr>
        <w:t>三是高等级公路规模与邻近地区相比仍有差距。全市高等级公路（二级及以上技术等级公路）总里程939公里，高等级公路面积密度和服务经济（GDP）的能力低于无锡市平均水平和周边大部分地区，对经济社会的基础性、支撑性作用发挥不足。而且各乡镇之间高等级公路分布不均，太华镇、杨巷镇、湖滏镇、西渚镇、徐舍镇、张渚镇的高等级公路密度均明显低于全市平均水平。</w:t>
      </w:r>
    </w:p>
    <w:p>
      <w:pPr>
        <w:spacing w:line="560" w:lineRule="exact"/>
        <w:ind w:firstLine="640"/>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2．区域快速便捷的联系需要加快完善</w:t>
      </w:r>
    </w:p>
    <w:p>
      <w:pPr>
        <w:spacing w:line="560" w:lineRule="exact"/>
        <w:ind w:firstLine="640"/>
        <w:rPr>
          <w:rFonts w:ascii="方正仿宋_GBK"/>
          <w:snapToGrid w:val="0"/>
        </w:rPr>
      </w:pPr>
      <w:r>
        <w:rPr>
          <w:rFonts w:hint="eastAsia" w:ascii="方正仿宋_GBK"/>
          <w:snapToGrid w:val="0"/>
        </w:rPr>
        <w:t>一是城市快速环线需加快构建。规划的城市快速内环仅建成范蠡大道段，庆源大道段、西氿大道段、站前大道段需要尽快改造提升服务能力。</w:t>
      </w:r>
    </w:p>
    <w:p>
      <w:pPr>
        <w:spacing w:line="560" w:lineRule="exact"/>
        <w:ind w:firstLine="640"/>
        <w:rPr>
          <w:rFonts w:ascii="方正仿宋_GBK"/>
          <w:snapToGrid w:val="0"/>
        </w:rPr>
      </w:pPr>
      <w:r>
        <w:rPr>
          <w:rFonts w:hint="eastAsia" w:ascii="方正仿宋_GBK"/>
          <w:snapToGrid w:val="0"/>
        </w:rPr>
        <w:t>二是市域节点间的快速通达能力需加快提升。市区至乡镇一级公路通达比例为78%，乡镇之间一级公路通达比例约65%，市区与乡镇、乡镇与乡镇之间的快速通达能力需要进一步提升。</w:t>
      </w:r>
    </w:p>
    <w:p>
      <w:pPr>
        <w:spacing w:line="560" w:lineRule="exact"/>
        <w:ind w:firstLine="640"/>
        <w:rPr>
          <w:rFonts w:ascii="方正仿宋_GBK"/>
          <w:snapToGrid w:val="0"/>
        </w:rPr>
      </w:pPr>
      <w:r>
        <w:rPr>
          <w:rFonts w:hint="eastAsia" w:ascii="方正仿宋_GBK"/>
          <w:snapToGrid w:val="0"/>
        </w:rPr>
        <w:t>三是南部山区旅游景点对外通道和内部连接道路通行能力需要进一步加强。旅游景区交通需求季节性差异明显，高峰期常态化设施不足凸显，景区集散交通压力大，其中极高峰出现频率（天数）约占全年8%，极高峰总客流量（万人次）约占全年40%，亟需进一步提升景区道路通行能力和服务品质。</w:t>
      </w:r>
    </w:p>
    <w:p>
      <w:pPr>
        <w:spacing w:line="560" w:lineRule="exact"/>
        <w:ind w:firstLine="640"/>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3．本质安全需要进一步提升</w:t>
      </w:r>
    </w:p>
    <w:p>
      <w:pPr>
        <w:spacing w:line="560" w:lineRule="exact"/>
        <w:ind w:firstLine="640"/>
        <w:rPr>
          <w:rFonts w:ascii="方正仿宋_GBK"/>
          <w:szCs w:val="32"/>
        </w:rPr>
      </w:pPr>
      <w:r>
        <w:rPr>
          <w:rFonts w:hint="eastAsia" w:ascii="方正仿宋_GBK"/>
          <w:szCs w:val="32"/>
        </w:rPr>
        <w:t>一是普通公路安全生命防护工程亟需加快建设。2020年宜兴市开展了普通公路安全生命防护工程排查工作，普通国省道一级公路中分带缺护栏、农村公路路侧搭接缺警示装置是安防提升的重点。</w:t>
      </w:r>
    </w:p>
    <w:p>
      <w:pPr>
        <w:spacing w:line="560" w:lineRule="exact"/>
        <w:ind w:firstLine="640"/>
        <w:rPr>
          <w:rFonts w:ascii="方正仿宋_GBK"/>
          <w:sz w:val="30"/>
          <w:szCs w:val="30"/>
        </w:rPr>
      </w:pPr>
      <w:r>
        <w:rPr>
          <w:rFonts w:hint="eastAsia" w:ascii="方正仿宋_GBK"/>
          <w:szCs w:val="32"/>
        </w:rPr>
        <w:t>二是安全监管亟待加强。安全监管人员总量不足，无法应对面广量大且不断扩张的管理问题。新技术监管应用不足，“互联网+监管”等智慧监管水平不高。</w:t>
      </w:r>
    </w:p>
    <w:p>
      <w:pPr>
        <w:spacing w:line="560" w:lineRule="exact"/>
        <w:ind w:firstLine="640"/>
        <w:rPr>
          <w:rFonts w:ascii="方正仿宋_GBK"/>
          <w:szCs w:val="32"/>
        </w:rPr>
      </w:pPr>
      <w:r>
        <w:rPr>
          <w:rFonts w:hint="eastAsia" w:ascii="方正仿宋_GBK"/>
          <w:szCs w:val="32"/>
        </w:rPr>
        <w:t>三是超限治理亟需加强源头管控。由政府牵头的联合执法机制尚未健全，难以对重点运输企业打开突破口，无法从源头上预防和控制公路超限运输。基于信用管理的分级分类监管机制尚未形成，无法依托大数据完善信用惩戒。</w:t>
      </w:r>
    </w:p>
    <w:p>
      <w:pPr>
        <w:spacing w:line="560" w:lineRule="exact"/>
        <w:ind w:firstLine="640"/>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4．可持续发展水平仍显不足</w:t>
      </w:r>
    </w:p>
    <w:p>
      <w:pPr>
        <w:spacing w:line="560" w:lineRule="exact"/>
        <w:ind w:firstLine="640"/>
        <w:rPr>
          <w:rFonts w:ascii="方正仿宋_GBK"/>
          <w:szCs w:val="32"/>
        </w:rPr>
      </w:pPr>
      <w:r>
        <w:rPr>
          <w:rFonts w:hint="eastAsia" w:ascii="方正仿宋_GBK"/>
        </w:rPr>
        <w:t>一是行业治理能力仍需提升。</w:t>
      </w:r>
      <w:r>
        <w:rPr>
          <w:rFonts w:hint="eastAsia" w:ascii="方正仿宋_GBK"/>
          <w:szCs w:val="32"/>
        </w:rPr>
        <w:t>交通基础设施与新基建的融合发展模式尚未深入研究。建设、养护、运营服务、管理决策等领域智能化、科学化、精准化水平有待进一步提升，高效能的行业治理体系仍有待完善。组织保障体系和管理制度体系仍待完善，资金保障体系和技术标准规范体系仍待改进。</w:t>
      </w:r>
    </w:p>
    <w:p>
      <w:pPr>
        <w:spacing w:line="560" w:lineRule="exact"/>
        <w:ind w:firstLine="640"/>
        <w:rPr>
          <w:rFonts w:ascii="方正仿宋_GBK"/>
        </w:rPr>
      </w:pPr>
      <w:r>
        <w:rPr>
          <w:rFonts w:hint="eastAsia" w:ascii="方正仿宋_GBK"/>
        </w:rPr>
        <w:t>二是发展资源保障需要进一步加强。</w:t>
      </w:r>
      <w:r>
        <w:rPr>
          <w:rFonts w:hint="eastAsia" w:ascii="方正仿宋_GBK"/>
          <w:szCs w:val="32"/>
        </w:rPr>
        <w:t>受生态、环保、以及土地政策收紧、国家严控地方债务等因素影响，S341等建设项目前期报批手续环节多、要求高、时间长，严重影响了重点项目的顺利实施。此外，S360洑湖段等项目征地拆迁矛盾对交通工程建设的影响较大</w:t>
      </w:r>
      <w:r>
        <w:rPr>
          <w:rFonts w:hint="eastAsia" w:ascii="方正仿宋_GBK"/>
        </w:rPr>
        <w:t>。</w:t>
      </w:r>
    </w:p>
    <w:p>
      <w:pPr>
        <w:spacing w:line="560" w:lineRule="exact"/>
        <w:ind w:firstLine="640"/>
        <w:rPr>
          <w:rFonts w:ascii="方正楷体_GBK" w:eastAsia="方正楷体_GBK"/>
        </w:rPr>
      </w:pPr>
      <w:bookmarkStart w:id="3" w:name="_Toc81426662"/>
      <w:r>
        <w:rPr>
          <w:rFonts w:hint="eastAsia" w:ascii="方正楷体_GBK" w:eastAsia="方正楷体_GBK"/>
        </w:rPr>
        <w:t>（三）形势要求</w:t>
      </w:r>
      <w:bookmarkEnd w:id="3"/>
    </w:p>
    <w:p>
      <w:pPr>
        <w:spacing w:line="560" w:lineRule="exact"/>
        <w:ind w:firstLine="640"/>
        <w:rPr>
          <w:rFonts w:ascii="方正仿宋_GBK"/>
          <w:color w:val="000000"/>
          <w:kern w:val="0"/>
          <w:szCs w:val="32"/>
        </w:rPr>
      </w:pPr>
      <w:r>
        <w:rPr>
          <w:rFonts w:hint="eastAsia" w:ascii="方正仿宋_GBK"/>
        </w:rPr>
        <w:t>“十四五”时期是宜兴经过“十三五”埋头实干、潜心改革、夯实发展基础上开启新局的五年，是宜兴推动经济社会高质量发展、建设区域性中心城市大有可为的五年，是宜兴市在全面建成小康社会的基础上率先开启全面建设社会主义现代化新征程奋力拼搏的五年。“十四五”期间，宜兴交通</w:t>
      </w:r>
      <w:r>
        <w:rPr>
          <w:rFonts w:hint="eastAsia" w:ascii="方正仿宋_GBK"/>
          <w:color w:val="000000"/>
          <w:kern w:val="0"/>
          <w:szCs w:val="32"/>
        </w:rPr>
        <w:t>要“勇于担负先行官职责，着眼服务构建新发展格局，顺应人民群众对交通运输的更高需求，努力打造交通运输现代化示范区，积极建设区域综合交通枢纽。</w:t>
      </w:r>
    </w:p>
    <w:p>
      <w:pPr>
        <w:spacing w:line="560" w:lineRule="exact"/>
        <w:ind w:firstLine="640"/>
        <w:rPr>
          <w:rFonts w:ascii="方正仿宋_GBK"/>
          <w:color w:val="000000"/>
          <w:kern w:val="0"/>
          <w:szCs w:val="32"/>
        </w:rPr>
      </w:pPr>
      <w:r>
        <w:rPr>
          <w:rFonts w:hint="eastAsia" w:ascii="方正仿宋_GBK"/>
          <w:bCs/>
        </w:rPr>
        <w:t>一是深入实施国家重大战略，宜兴交通应充分发挥基础性支撑、高效率衔接作用。“</w:t>
      </w:r>
      <w:r>
        <w:rPr>
          <w:rFonts w:hint="eastAsia" w:ascii="方正仿宋_GBK"/>
          <w:color w:val="000000"/>
          <w:kern w:val="0"/>
          <w:szCs w:val="32"/>
        </w:rPr>
        <w:t>十四五”时期宜兴交通需要抢抓“一带一路”、长江经济带、长三角区域一体化等多重国家重大战略叠加交融机遇，深入推进区域协调发展，加快构建与产业、城镇布局优化调整相匹配的综合立体交通网，在构建对外通道、打造综合枢纽过程中，需要充分发挥交通运输基础性支撑、高效率衔接等比较优势。交通运输需要围绕服务以国内大循环为主体、国内国际双循环相互促进的新发展格局，构建有助于高水平扩内需、促开放、畅循环的高效流通体系，加快建设现代物流体系和现代交通市场体系。</w:t>
      </w:r>
    </w:p>
    <w:p>
      <w:pPr>
        <w:spacing w:line="560" w:lineRule="exact"/>
        <w:ind w:firstLine="640"/>
        <w:rPr>
          <w:rFonts w:ascii="方正仿宋_GBK"/>
          <w:color w:val="000000"/>
          <w:kern w:val="0"/>
          <w:szCs w:val="32"/>
        </w:rPr>
      </w:pPr>
      <w:r>
        <w:rPr>
          <w:rFonts w:hint="eastAsia" w:ascii="方正仿宋_GBK"/>
          <w:bCs/>
        </w:rPr>
        <w:t>二是“争当表率、争做示范、走在前列”的要求，宜兴交通需要加快建设现代综合交通运输体系。</w:t>
      </w:r>
      <w:r>
        <w:rPr>
          <w:rFonts w:hint="eastAsia" w:ascii="方正仿宋_GBK"/>
          <w:color w:val="000000"/>
          <w:kern w:val="0"/>
          <w:szCs w:val="32"/>
        </w:rPr>
        <w:t>习近平总书记到江苏视察，赋予江苏“争当表率、争做示范、走在前列”新的使命。省委、省政府主要领导先后四次调研综合交通运输体系，要求“十四五”时期交通建设跑出加速度，努力建设更高层次的现代综合交通运输体系，积极服务构建新发展格局。“十四五”时期交通建设仍然是高质量发展的主战场，要求交通运输必须把创新作为引领发展的第一动力，突出理念创新，以新发展理念指导交通融合发展。突出制度创新，以体制机制变革增添发展动力。突出技术创新，以前沿尖端科技为产业发展赋能。</w:t>
      </w:r>
    </w:p>
    <w:p>
      <w:pPr>
        <w:spacing w:line="560" w:lineRule="exact"/>
        <w:ind w:firstLine="640"/>
        <w:rPr>
          <w:rFonts w:ascii="方正仿宋_GBK"/>
          <w:color w:val="000000"/>
          <w:kern w:val="0"/>
          <w:szCs w:val="32"/>
        </w:rPr>
      </w:pPr>
      <w:r>
        <w:rPr>
          <w:rFonts w:hint="eastAsia" w:ascii="方正仿宋_GBK"/>
          <w:bCs/>
        </w:rPr>
        <w:t>三是开启基本实现现代化新征程，宜兴交通需要打造区域综合交通枢纽，加快推进国际化，打造区域性国际化中心城市。</w:t>
      </w:r>
      <w:r>
        <w:rPr>
          <w:rFonts w:hint="eastAsia" w:ascii="方正仿宋_GBK"/>
          <w:color w:val="000000"/>
          <w:kern w:val="0"/>
          <w:szCs w:val="32"/>
        </w:rPr>
        <w:t>“十四五”期间，宜兴市高水平全面开放格局进一步确</w:t>
      </w:r>
      <w:r>
        <w:rPr>
          <w:rFonts w:hint="eastAsia" w:ascii="方正仿宋_GBK"/>
          <w:kern w:val="0"/>
          <w:szCs w:val="32"/>
        </w:rPr>
        <w:t>立，开放型经济质量和水平持续提升，融入长三角一体化、锡宜一体化等区域一体化取得突破性进展，</w:t>
      </w:r>
      <w:r>
        <w:rPr>
          <w:rFonts w:hint="eastAsia" w:ascii="方正仿宋_GBK" w:cs="Arial"/>
          <w:shd w:val="clear" w:color="auto" w:fill="FFFFFF"/>
        </w:rPr>
        <w:t>加快推进国际化、打造区域性国际化中心城市</w:t>
      </w:r>
      <w:r>
        <w:rPr>
          <w:rFonts w:hint="eastAsia" w:ascii="方正仿宋_GBK"/>
          <w:kern w:val="0"/>
          <w:szCs w:val="32"/>
        </w:rPr>
        <w:t>。宜兴需要做厚产业基础、做强城市能级、做精特色优势，在接受更大能级城市辐射、实现更高层次区域竞合的同时，更好集聚资源要素、协同区域发</w:t>
      </w:r>
      <w:r>
        <w:rPr>
          <w:rFonts w:hint="eastAsia" w:ascii="方正仿宋_GBK"/>
          <w:color w:val="000000"/>
          <w:kern w:val="0"/>
          <w:szCs w:val="32"/>
        </w:rPr>
        <w:t>展，成为区域地理中心为功能轴心。宜兴交通需要以打造长三角区域性交通枢纽为目标，进一步提升锡宜一体化、苏锡常一体化以及与南京和杭州的互联互通水平，最大限度拉近与上海的时空距离，全面融入长三角区域一体化交通运输体系。</w:t>
      </w:r>
    </w:p>
    <w:p>
      <w:pPr>
        <w:spacing w:line="560" w:lineRule="exact"/>
        <w:ind w:firstLine="640"/>
        <w:rPr>
          <w:rFonts w:ascii="方正楷体_GBK" w:eastAsia="方正楷体_GBK"/>
        </w:rPr>
      </w:pPr>
      <w:bookmarkStart w:id="4" w:name="_Toc81426663"/>
      <w:r>
        <w:rPr>
          <w:rFonts w:hint="eastAsia" w:ascii="方正楷体_GBK" w:eastAsia="方正楷体_GBK"/>
        </w:rPr>
        <w:t>（四）需求特征</w:t>
      </w:r>
      <w:bookmarkEnd w:id="4"/>
    </w:p>
    <w:p>
      <w:pPr>
        <w:spacing w:line="560" w:lineRule="exact"/>
        <w:ind w:firstLine="640"/>
        <w:rPr>
          <w:rFonts w:ascii="方正仿宋_GBK"/>
        </w:rPr>
      </w:pPr>
      <w:r>
        <w:rPr>
          <w:rFonts w:hint="eastAsia" w:ascii="方正仿宋_GBK"/>
        </w:rPr>
        <w:t>“十四五”时期，宜兴经济社会高质量发展迈上新台阶，经济结构更加优化，产业基础高级化、产业链现代化水平明显提高。常住人口城镇化率达73%以上，人口老龄化水平持续加深。预计客货运输总量持续增长但增速放缓，运输需求结构持续深刻变化。客运高品质、多样化、个性化特征更加凸显，高铁、民航、小汽车出行占比不断提升，且更加注重安全、无障碍和人性化出行。货运高价值、小批量、时效强的特征更加凸显，“门到门”、专业化需求持续增长。大宗货物及中长距离货物运输进一步转向水运，集装箱运输成为主要增长点。共享交通、快递物流、无人配送等新业态新模式快速发展，对运输组织方式、服务模式和发展业态产生深刻影响。</w:t>
      </w:r>
    </w:p>
    <w:p>
      <w:pPr>
        <w:spacing w:line="560" w:lineRule="exact"/>
        <w:ind w:firstLine="640"/>
        <w:rPr>
          <w:rFonts w:ascii="方正仿宋_GBK"/>
        </w:rPr>
      </w:pPr>
      <w:r>
        <w:rPr>
          <w:rFonts w:hint="eastAsia" w:ascii="方正仿宋_GBK"/>
        </w:rPr>
        <w:t>“十四五”时期，预计全社会客、货运输量将稳步提升，分别是2019年的134%和129%。客运方面，高铁、民航客运需求持续快速增长，到2025年，铁路客运量占营业性客运量比重达8.8%。货运方面，运输结构调整政策施行带动公路货运占比逐渐下降，大宗货物中长途运输向水运方式转移，多式联运比例逐步提升，水运货运量占比将达到35.4%。</w:t>
      </w:r>
    </w:p>
    <w:p>
      <w:pPr>
        <w:spacing w:line="560" w:lineRule="exact"/>
        <w:ind w:firstLine="640"/>
        <w:rPr>
          <w:rFonts w:ascii="方正黑体_GBK" w:eastAsia="方正黑体_GBK"/>
        </w:rPr>
      </w:pPr>
      <w:bookmarkStart w:id="5" w:name="_Toc81426664"/>
      <w:r>
        <w:rPr>
          <w:rFonts w:hint="eastAsia" w:ascii="方正黑体_GBK" w:eastAsia="方正黑体_GBK"/>
        </w:rPr>
        <w:t>二、发展目标</w:t>
      </w:r>
      <w:bookmarkEnd w:id="5"/>
    </w:p>
    <w:p>
      <w:pPr>
        <w:spacing w:line="560" w:lineRule="exact"/>
        <w:ind w:firstLine="640"/>
        <w:rPr>
          <w:rFonts w:ascii="方正楷体_GBK" w:eastAsia="方正楷体_GBK"/>
        </w:rPr>
      </w:pPr>
      <w:bookmarkStart w:id="6" w:name="_Toc81426665"/>
      <w:r>
        <w:rPr>
          <w:rFonts w:hint="eastAsia" w:ascii="方正楷体_GBK" w:eastAsia="方正楷体_GBK"/>
        </w:rPr>
        <w:t>（一）指导思想</w:t>
      </w:r>
      <w:bookmarkEnd w:id="6"/>
    </w:p>
    <w:p>
      <w:pPr>
        <w:spacing w:line="560" w:lineRule="exact"/>
        <w:ind w:firstLine="640"/>
        <w:rPr>
          <w:rFonts w:ascii="方正仿宋_GBK"/>
        </w:rPr>
      </w:pPr>
      <w:r>
        <w:rPr>
          <w:rFonts w:hint="eastAsia" w:ascii="方正仿宋_GBK"/>
        </w:rPr>
        <w:t>以习近平新时代中国特色社会主义思想为指导，深入贯彻党的十九大和十九届二中、三中、四中、五中全会</w:t>
      </w:r>
      <w:r>
        <w:rPr>
          <w:rFonts w:hint="eastAsia" w:ascii="方正仿宋_GBK"/>
          <w:color w:val="000000" w:themeColor="text1"/>
          <w:kern w:val="0"/>
          <w:szCs w:val="32"/>
          <w14:textFill>
            <w14:solidFill>
              <w14:schemeClr w14:val="tx1"/>
            </w14:solidFill>
          </w14:textFill>
        </w:rPr>
        <w:t>以及总书记对江苏的重要指示精神</w:t>
      </w:r>
      <w:r>
        <w:rPr>
          <w:rFonts w:hint="eastAsia" w:ascii="方正仿宋_GBK"/>
        </w:rPr>
        <w:t>，全面落实省委十三届九次全会、全国和全省交通运输工作会议决策部署，坚持稳中求进工作总基调，科学把握新发展阶段，坚持贯彻新发展理念，服务构建新发展格局，以交通强国建设为统领，以推动交通运输高质量发展为主题，以深化供给侧结构性改革为主线，以建设人民满意交通为根本目的，以改革创新为动力，</w:t>
      </w:r>
      <w:r>
        <w:rPr>
          <w:rFonts w:hint="eastAsia" w:ascii="方正仿宋_GBK"/>
          <w:snapToGrid w:val="0"/>
          <w:spacing w:val="8"/>
        </w:rPr>
        <w:t>推动基础设施立体互联、运输服务一体融合、治理体系现代高效，加快构建安全、便捷、高效、绿色、经济的现代综合交通运输体系，率先基本实现交通运输现代化，为宜兴在改革创新、推动高质量发展上争当表率，在服务构建新发展格局上争做示范，为率先实现社会主义现代化走在前列提供强有力的支撑和保障，助力宜兴开启全面建设社会主义现代化新征程，服务宜兴打造区域性国际化中心城市。</w:t>
      </w:r>
    </w:p>
    <w:p>
      <w:pPr>
        <w:spacing w:line="560" w:lineRule="exact"/>
        <w:ind w:firstLine="640"/>
        <w:rPr>
          <w:rFonts w:ascii="方正楷体_GBK" w:eastAsia="方正楷体_GBK"/>
        </w:rPr>
      </w:pPr>
      <w:bookmarkStart w:id="7" w:name="_Toc81426666"/>
      <w:r>
        <w:rPr>
          <w:rFonts w:hint="eastAsia" w:ascii="方正楷体_GBK" w:eastAsia="方正楷体_GBK"/>
        </w:rPr>
        <w:t>（二）发展原则</w:t>
      </w:r>
      <w:bookmarkEnd w:id="7"/>
    </w:p>
    <w:p>
      <w:pPr>
        <w:spacing w:line="560" w:lineRule="exact"/>
        <w:ind w:firstLine="640"/>
        <w:rPr>
          <w:rFonts w:ascii="方正仿宋_GBK"/>
        </w:rPr>
      </w:pPr>
      <w:r>
        <w:rPr>
          <w:rFonts w:hint="eastAsia" w:ascii="方正仿宋_GBK"/>
        </w:rPr>
        <w:t>着眼于宜兴交通发展实际，重点遵循以下发展原则：</w:t>
      </w:r>
    </w:p>
    <w:p>
      <w:pPr>
        <w:spacing w:line="560" w:lineRule="exact"/>
        <w:ind w:firstLine="640"/>
        <w:rPr>
          <w:rFonts w:ascii="方正仿宋_GBK"/>
        </w:rPr>
      </w:pPr>
      <w:r>
        <w:rPr>
          <w:rFonts w:hint="eastAsia" w:ascii="方正仿宋_GBK"/>
          <w:szCs w:val="30"/>
        </w:rPr>
        <w:t>1．统筹融合，协调发展。</w:t>
      </w:r>
      <w:r>
        <w:rPr>
          <w:rFonts w:hint="eastAsia" w:ascii="方正仿宋_GBK"/>
        </w:rPr>
        <w:t>加强前瞻性思考、全局性谋划、战略性布局、整体性推进，推动跨区域、跨方式、跨行业深度融合。统筹存量和增量、传统和新型基础设施发展。推动交通与其他产业融合发展。</w:t>
      </w:r>
    </w:p>
    <w:p>
      <w:pPr>
        <w:spacing w:line="560" w:lineRule="exact"/>
        <w:ind w:firstLine="640"/>
        <w:rPr>
          <w:rFonts w:ascii="方正仿宋_GBK"/>
        </w:rPr>
      </w:pPr>
      <w:r>
        <w:rPr>
          <w:rFonts w:hint="eastAsia" w:ascii="方正仿宋_GBK"/>
          <w:szCs w:val="30"/>
        </w:rPr>
        <w:t>2．智慧驱动，创新发展。</w:t>
      </w:r>
      <w:r>
        <w:rPr>
          <w:rFonts w:hint="eastAsia" w:ascii="方正仿宋_GBK"/>
        </w:rPr>
        <w:t>坚持创新核心地位，注重科技赋能，促进交通提效能、扩功能、增动能。推进交通设施数字化、网联化，提升智慧发展水平。推动科技信息向促创新、促产业转型，以智慧交通的新成效增添发展动能，实现交通质量变革、效率变革和动力变革。推动行业治理向重信用、依法治转型，以治理体系的新台阶夯实行业发展基础。</w:t>
      </w:r>
    </w:p>
    <w:p>
      <w:pPr>
        <w:spacing w:line="560" w:lineRule="exact"/>
        <w:ind w:firstLine="640"/>
        <w:rPr>
          <w:rFonts w:ascii="方正仿宋_GBK"/>
        </w:rPr>
      </w:pPr>
      <w:r>
        <w:rPr>
          <w:rFonts w:hint="eastAsia" w:ascii="方正仿宋_GBK"/>
          <w:szCs w:val="30"/>
        </w:rPr>
        <w:t>3．集约低碳，绿色发展。</w:t>
      </w:r>
      <w:r>
        <w:rPr>
          <w:rFonts w:hint="eastAsia" w:ascii="方正仿宋_GBK"/>
        </w:rPr>
        <w:t>厚植绿色发展理念，以交通网络整体效能的提升为出发点，科学合理确定增量，加强交通领域节能减排、污染防治和生态修复，将保护环境、节约集约利用资源和节能减排落实到规划、建设、养护和运营等各环节。</w:t>
      </w:r>
      <w:r>
        <w:rPr>
          <w:rFonts w:hint="eastAsia" w:ascii="方正仿宋_GBK"/>
          <w:color w:val="000000" w:themeColor="text1"/>
          <w:kern w:val="0"/>
          <w:szCs w:val="32"/>
          <w14:textFill>
            <w14:solidFill>
              <w14:schemeClr w14:val="tx1"/>
            </w14:solidFill>
          </w14:textFill>
        </w:rPr>
        <w:t>积极应用节能技术和清洁能源，鼓励废旧材料循环利用。</w:t>
      </w:r>
      <w:r>
        <w:rPr>
          <w:rFonts w:hint="eastAsia" w:ascii="方正仿宋_GBK"/>
          <w:snapToGrid w:val="0"/>
          <w:spacing w:val="8"/>
          <w:kern w:val="0"/>
          <w:szCs w:val="32"/>
        </w:rPr>
        <w:t>主动适应美丽宜兴和“碳达峰”“碳中和”等发展要求。全力推进运输结构调整，推动交通运输可持续发展。</w:t>
      </w:r>
    </w:p>
    <w:p>
      <w:pPr>
        <w:spacing w:line="560" w:lineRule="exact"/>
        <w:ind w:firstLine="640"/>
        <w:rPr>
          <w:rFonts w:ascii="方正仿宋_GBK"/>
        </w:rPr>
      </w:pPr>
      <w:r>
        <w:rPr>
          <w:rFonts w:hint="eastAsia" w:ascii="方正仿宋_GBK"/>
          <w:szCs w:val="30"/>
        </w:rPr>
        <w:t>4．协同融合，提质增效。</w:t>
      </w:r>
      <w:r>
        <w:rPr>
          <w:rFonts w:hint="eastAsia" w:ascii="方正仿宋_GBK"/>
        </w:rPr>
        <w:t>加强不同运输方式的匹配衔接和分工协作，推动各种运输方式各定其位、各得其所、各尽其能、各展所长，充分发挥组合优势和整体效率。促进运输产业与旅游、商贸、制造等其他产业的多业联动、跨界融合和产业重构。</w:t>
      </w:r>
    </w:p>
    <w:p>
      <w:pPr>
        <w:spacing w:line="560" w:lineRule="exact"/>
        <w:ind w:firstLine="640"/>
        <w:rPr>
          <w:rFonts w:ascii="方正仿宋_GBK"/>
          <w:snapToGrid w:val="0"/>
        </w:rPr>
      </w:pPr>
      <w:r>
        <w:rPr>
          <w:rFonts w:hint="eastAsia" w:ascii="方正仿宋_GBK"/>
          <w:szCs w:val="30"/>
        </w:rPr>
        <w:t>5．服务人民，共享发展。</w:t>
      </w:r>
      <w:r>
        <w:rPr>
          <w:rFonts w:hint="eastAsia" w:ascii="方正仿宋_GBK"/>
          <w:snapToGrid w:val="0"/>
        </w:rPr>
        <w:t>坚持以人民为中心的发展思想，突出交通服务人民的基本属性，突出文化体验和社会关切，推动客运服务向强枢纽、便换乘转型，以幸福交通的新高度满足公众出行需求。统筹发展与安全，推动安全监管向抓本质、抓预防转型，以平安交通的新成果拓展平安发展新局面。推动自身建设向强党建、强文化转型，以行业文明的新提升展示交通形象。</w:t>
      </w:r>
    </w:p>
    <w:p>
      <w:pPr>
        <w:spacing w:line="560" w:lineRule="exact"/>
        <w:ind w:firstLine="640"/>
        <w:rPr>
          <w:rFonts w:ascii="方正楷体_GBK" w:eastAsia="方正楷体_GBK"/>
        </w:rPr>
      </w:pPr>
      <w:bookmarkStart w:id="8" w:name="_Toc81426667"/>
      <w:r>
        <w:rPr>
          <w:rFonts w:hint="eastAsia" w:ascii="方正楷体_GBK" w:eastAsia="方正楷体_GBK"/>
        </w:rPr>
        <w:t>（三）发展目标</w:t>
      </w:r>
      <w:bookmarkEnd w:id="8"/>
    </w:p>
    <w:p>
      <w:pPr>
        <w:spacing w:line="560" w:lineRule="exact"/>
        <w:ind w:firstLine="640"/>
        <w:rPr>
          <w:rFonts w:ascii="方正仿宋_GBK"/>
          <w:snapToGrid w:val="0"/>
        </w:rPr>
      </w:pPr>
      <w:r>
        <w:rPr>
          <w:rFonts w:hint="eastAsia" w:ascii="方正仿宋_GBK"/>
          <w:snapToGrid w:val="0"/>
        </w:rPr>
        <w:t>1．2035年远景目标</w:t>
      </w:r>
    </w:p>
    <w:p>
      <w:pPr>
        <w:spacing w:line="560" w:lineRule="exact"/>
        <w:ind w:firstLine="640"/>
        <w:rPr>
          <w:rFonts w:ascii="方正仿宋_GBK"/>
        </w:rPr>
      </w:pPr>
      <w:r>
        <w:rPr>
          <w:rFonts w:hint="eastAsia" w:ascii="方正仿宋_GBK"/>
        </w:rPr>
        <w:t>至2035年，基本建成高效便捷、健康安全、绿色智慧、特色鲜明的现代化综合立体交通系统。构建区域畅达的多联网、市域广覆的快速网、交旅相融的特色网，实现“369”区域高可达目标和“123”市域高品质目标，推动宜兴综合交通运输发展水平进入全省前列，有力支撑宜兴区域性国际化中心城市的建设，打造全省交通运输现代化示范区。</w:t>
      </w:r>
    </w:p>
    <w:p>
      <w:pPr>
        <w:spacing w:line="560" w:lineRule="exact"/>
        <w:ind w:firstLine="640"/>
        <w:rPr>
          <w:rFonts w:ascii="方正仿宋_GBK"/>
        </w:rPr>
      </w:pPr>
      <w:r>
        <w:rPr>
          <w:rFonts w:hint="eastAsia" w:ascii="方正仿宋_GBK"/>
        </w:rPr>
        <w:t>“369”区域高可达目标：至2035年，实现30分钟与苏锡常都市圈主要城市直达，包括无锡、常州核心城区等；实现60分钟与长三角核心城市和区域核心枢纽通达，包括上海、南京、杭州等城市和上海虹桥枢纽、南京禄口机场、苏南硕放机场等枢纽；实现90分钟与长三角其他主要城市可达，包括宁波、苏州、泰州、淮安、芜湖、宣城等城市。</w:t>
      </w:r>
    </w:p>
    <w:p>
      <w:pPr>
        <w:spacing w:line="560" w:lineRule="exact"/>
        <w:ind w:firstLine="640"/>
        <w:rPr>
          <w:rFonts w:ascii="方正仿宋_GBK"/>
        </w:rPr>
      </w:pPr>
      <w:r>
        <w:rPr>
          <w:rFonts w:hint="eastAsia" w:ascii="方正仿宋_GBK"/>
        </w:rPr>
        <w:t>“123”市域高质量目标：至2035年，实现宜南山区核心景区间15分钟互联互通，进一步提升南部山区旅游交通服务水平；实现市域重点镇至高铁枢纽25分钟直达，进一步提升高铁枢纽对市域城镇覆盖水平；实现中心城区至市域各镇35分钟可达，进一步推动市域交通一体化发展。</w:t>
      </w:r>
    </w:p>
    <w:p>
      <w:pPr>
        <w:spacing w:line="560" w:lineRule="exact"/>
        <w:ind w:firstLine="640"/>
        <w:rPr>
          <w:rFonts w:ascii="方正仿宋_GBK"/>
        </w:rPr>
      </w:pPr>
      <w:r>
        <w:rPr>
          <w:rFonts w:hint="eastAsia" w:ascii="方正仿宋_GBK"/>
        </w:rPr>
        <w:t>2．“十四五”发展目标</w:t>
      </w:r>
    </w:p>
    <w:p>
      <w:pPr>
        <w:spacing w:line="560" w:lineRule="exact"/>
        <w:ind w:firstLine="640"/>
        <w:rPr>
          <w:rFonts w:ascii="方正仿宋_GBK"/>
          <w:snapToGrid w:val="0"/>
        </w:rPr>
      </w:pPr>
      <w:r>
        <w:rPr>
          <w:rFonts w:hint="eastAsia" w:ascii="方正仿宋_GBK"/>
          <w:snapToGrid w:val="0"/>
        </w:rPr>
        <w:t>至2025年，宜兴交通将打造“1个枢纽、提升3个通道、形成3个示范、构建5个体系”，基本建成“123”品质出行交通网和“123”便捷生活通勤圈，即1小时通达沪宁杭，2小时通达省内地级市，3小时通达长三角大中城市；各乡镇15分钟（一刻钟）通达高速公路，中心城区30分钟（两刻钟）通达各乡镇，市域任意乡镇之间45分钟（三刻钟）到达，支撑宜兴建设区域性国际化中心城市。</w:t>
      </w:r>
    </w:p>
    <w:p>
      <w:pPr>
        <w:spacing w:line="560" w:lineRule="exact"/>
        <w:ind w:firstLine="640"/>
        <w:rPr>
          <w:rFonts w:ascii="方正仿宋_GBK"/>
          <w:snapToGrid w:val="0"/>
        </w:rPr>
      </w:pPr>
      <w:r>
        <w:rPr>
          <w:rFonts w:hint="eastAsia" w:ascii="方正仿宋_GBK"/>
          <w:snapToGrid w:val="0"/>
        </w:rPr>
        <w:t>“1个枢纽”指打造区域综合交通枢纽，“3个通道”指宁杭通道（国家级通道）、常宜通道（省级通道）、锡宜通道（市级通道），“3个示范”指基本实现交通运输现代化先行示范、“农村公路+融合发展”全国示范、农村公路管养体系全国示范，“5个体系”指构筑高效便捷的综合立体网络体系、完善优质惠民的公共出行服务体系、打造经济高效的现代物流服务体系、构建智慧先进的持续发展创新体系、建立现代科学的交通运输治理体系。</w:t>
      </w:r>
    </w:p>
    <w:p>
      <w:pPr>
        <w:spacing w:line="560" w:lineRule="exact"/>
        <w:ind w:firstLine="640"/>
        <w:rPr>
          <w:rFonts w:ascii="方正仿宋_GBK"/>
          <w:szCs w:val="32"/>
        </w:rPr>
      </w:pPr>
      <w:r>
        <w:rPr>
          <w:rFonts w:hint="eastAsia" w:ascii="方正仿宋_GBK"/>
          <w:szCs w:val="24"/>
        </w:rPr>
        <w:t>—构筑高效便捷的综合立体网络体系。</w:t>
      </w:r>
      <w:r>
        <w:rPr>
          <w:rFonts w:hint="eastAsia" w:ascii="方正仿宋_GBK"/>
        </w:rPr>
        <w:t>新开工轨道交通65公里，新改建高速公路64公里，新增快速路16公里，新增干线航道54公里，新增普通国省道102公里，新改建县道、重要连接道路23.5公里，新改建旅游道路30公里，完成农村公路提档升级工程300公里，同步改造动态新增的危旧桥100座。</w:t>
      </w:r>
    </w:p>
    <w:p>
      <w:pPr>
        <w:spacing w:line="560" w:lineRule="exact"/>
        <w:ind w:firstLine="640"/>
        <w:rPr>
          <w:rFonts w:ascii="方正仿宋_GBK"/>
          <w:szCs w:val="24"/>
        </w:rPr>
      </w:pPr>
      <w:r>
        <w:rPr>
          <w:rFonts w:hint="eastAsia" w:ascii="方正仿宋_GBK"/>
          <w:szCs w:val="24"/>
        </w:rPr>
        <w:t>—完善优质惠民的公共出行服务体系：</w:t>
      </w:r>
      <w:r>
        <w:rPr>
          <w:rFonts w:hint="eastAsia" w:ascii="方正仿宋_GBK"/>
        </w:rPr>
        <w:t>进一步提升综合客运枢纽一体化水平，优化以市域轨道为核心、以城市公交为骨架、以市镇公交和镇村公交为补充的客运服务体系，进一步提升城乡客运一体化水平，打造普惠公平的城乡公交体系。“十四五”末，城市公交站点500米半径覆盖率达到100%，适老化设施覆盖程度达到98%。</w:t>
      </w:r>
    </w:p>
    <w:p>
      <w:pPr>
        <w:spacing w:line="560" w:lineRule="exact"/>
        <w:ind w:firstLine="640"/>
        <w:rPr>
          <w:rFonts w:ascii="方正仿宋_GBK"/>
          <w:szCs w:val="24"/>
        </w:rPr>
      </w:pPr>
      <w:r>
        <w:rPr>
          <w:rFonts w:hint="eastAsia" w:ascii="方正仿宋_GBK"/>
          <w:szCs w:val="24"/>
        </w:rPr>
        <w:t>—打造经济高效的现代物流服务体系：物流运输企业更具有竞争力，“散改集”工程得到了有序推进，运输装备标准化和专业化水平更高；实现交邮融合，完善畅通便捷、经济高效、便民利民的县、乡、村三级物流服务体系。社会物流总费用与GDP的比率下降至12%。货运结构明显优化，集装箱多式联运量年均增长10%以上，主要品牌快递服务行政村覆盖率100%。</w:t>
      </w:r>
    </w:p>
    <w:p>
      <w:pPr>
        <w:spacing w:line="560" w:lineRule="exact"/>
        <w:ind w:firstLine="640"/>
        <w:rPr>
          <w:rFonts w:ascii="方正仿宋_GBK"/>
          <w:szCs w:val="24"/>
        </w:rPr>
      </w:pPr>
      <w:r>
        <w:rPr>
          <w:rFonts w:hint="eastAsia" w:ascii="方正仿宋_GBK"/>
          <w:bCs/>
          <w:szCs w:val="24"/>
        </w:rPr>
        <w:t>—构建智慧先进的持续发展创新体系。</w:t>
      </w:r>
      <w:r>
        <w:rPr>
          <w:rFonts w:hint="eastAsia" w:ascii="方正仿宋_GBK"/>
          <w:szCs w:val="24"/>
        </w:rPr>
        <w:t>持续提升交通信息化水平，试点推进干线公路、干线航道智慧升级项目，规划发展村庄地图精准导航率100%。全面推进绿色交通建设，新增清洁能源和新能源公交、出租车、城市配送车占比80%。</w:t>
      </w:r>
    </w:p>
    <w:p>
      <w:pPr>
        <w:spacing w:line="560" w:lineRule="exact"/>
        <w:ind w:firstLine="640"/>
        <w:rPr>
          <w:rFonts w:ascii="方正仿宋_GBK"/>
          <w:szCs w:val="24"/>
        </w:rPr>
        <w:sectPr>
          <w:pgSz w:w="11900" w:h="16840"/>
          <w:pgMar w:top="1440" w:right="1797" w:bottom="1440" w:left="1797" w:header="720" w:footer="720" w:gutter="0"/>
          <w:pgNumType w:fmt="numberInDash"/>
          <w:cols w:space="425" w:num="1"/>
          <w:docGrid w:linePitch="286" w:charSpace="0"/>
        </w:sectPr>
      </w:pPr>
      <w:r>
        <w:rPr>
          <w:rFonts w:hint="eastAsia" w:ascii="方正仿宋_GBK"/>
          <w:szCs w:val="24"/>
        </w:rPr>
        <w:t>—建立现代科学的交通运输治理体系：不断提高安全生产监管水平，道路运输事故起数下降20%。加强交通信用体系建设，信用监管重点领域覆盖率达到100%。完善农村公路管养机制，农村公路路长制覆盖率达到100%。推动跨部门联合执法，普通国省道平均超限率占比降至0.6%，加强人才队伍建设，高级专业技术人才占专业技术人才比例达到12%。</w:t>
      </w:r>
    </w:p>
    <w:p>
      <w:pPr>
        <w:spacing w:before="120" w:beforeLines="50" w:line="240" w:lineRule="auto"/>
        <w:ind w:firstLine="0" w:firstLineChars="0"/>
        <w:jc w:val="center"/>
        <w:rPr>
          <w:rFonts w:ascii="方正小标宋_GBK" w:hAnsi="仿宋" w:eastAsia="方正小标宋_GBK"/>
          <w:szCs w:val="32"/>
        </w:rPr>
      </w:pPr>
      <w:r>
        <w:rPr>
          <w:rFonts w:hint="eastAsia" w:ascii="方正小标宋_GBK" w:hAnsi="仿宋" w:eastAsia="方正小标宋_GBK"/>
          <w:szCs w:val="32"/>
        </w:rPr>
        <w:t>表2-1  宜兴市“十四五”综合交通运输主要发展指标表</w:t>
      </w:r>
    </w:p>
    <w:tbl>
      <w:tblPr>
        <w:tblStyle w:val="26"/>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7839"/>
        <w:gridCol w:w="1443"/>
        <w:gridCol w:w="1409"/>
        <w:gridCol w:w="18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588"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类别</w:t>
            </w: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指标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2020年</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2025年</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restar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综合立体网总体规模</w:t>
            </w: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铁路（轨道）开工总里程（公里）</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65</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高速、快速路总里程（公里）</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117</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197</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普通国省道里程（公里）</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292</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394</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高等级航道里程（公里）</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54</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干线公路省际市际出入口车道数</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68</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84</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乡镇美丽农村路覆盖率（%）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100</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约束性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公路网密度（km/km2）</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1.5</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1.6</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自然村等级公路覆盖率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83</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100</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restar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运输服务</w:t>
            </w: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社会物流总费用与GDP的比率（%）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13.6</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12</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适老化设施覆盖程度（%）</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24"/>
                <w:sz w:val="28"/>
                <w:szCs w:val="28"/>
              </w:rPr>
              <w:t>98</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主要品牌快递服务行政村覆盖率（%）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80</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100</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集装箱多式联运量年均增长率（%）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10</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restar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绿色智慧</w:t>
            </w:r>
          </w:p>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平安</w:t>
            </w: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试点推进干线公路、干线航道智慧升级开工项目（个）</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b/>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规划发展村庄地图精准导航率（%）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90</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100</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b/>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新增清洁能源和新能源公交、出租车、城市配送车占比（%）</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80</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约束性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b/>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道路运输事故起数下降率（%）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20</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restart"/>
            <w:shd w:val="clear" w:color="auto" w:fill="auto"/>
            <w:vAlign w:val="center"/>
          </w:tcPr>
          <w:p>
            <w:pPr>
              <w:widowControl/>
              <w:spacing w:line="240" w:lineRule="auto"/>
              <w:ind w:firstLine="0" w:firstLineChars="0"/>
              <w:jc w:val="center"/>
              <w:rPr>
                <w:rFonts w:hint="eastAsia" w:ascii="方正仿宋_GBK" w:hAnsi="仿宋"/>
                <w:bCs/>
                <w:color w:val="000000"/>
                <w:kern w:val="0"/>
                <w:sz w:val="28"/>
                <w:szCs w:val="28"/>
              </w:rPr>
            </w:pPr>
            <w:r>
              <w:rPr>
                <w:rFonts w:hint="eastAsia" w:ascii="方正仿宋_GBK" w:hAnsi="仿宋"/>
                <w:bCs/>
                <w:color w:val="000000"/>
                <w:kern w:val="0"/>
                <w:sz w:val="28"/>
                <w:szCs w:val="28"/>
              </w:rPr>
              <w:t>治理能力</w:t>
            </w: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信用监管重点领域覆盖率（%）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100</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kern w:val="0"/>
                <w:sz w:val="28"/>
                <w:szCs w:val="28"/>
              </w:rPr>
            </w:pPr>
            <w:r>
              <w:rPr>
                <w:rFonts w:hint="eastAsia" w:ascii="方正仿宋_GBK" w:hAnsi="仿宋"/>
                <w:kern w:val="0"/>
                <w:sz w:val="28"/>
                <w:szCs w:val="28"/>
              </w:rPr>
              <w:t>高级专业技术人才占专业技术人才比例（%）</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9.9</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12</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color w:val="000000" w:themeColor="text1"/>
                <w:kern w:val="0"/>
                <w:sz w:val="28"/>
                <w:szCs w:val="28"/>
                <w14:textFill>
                  <w14:solidFill>
                    <w14:schemeClr w14:val="tx1"/>
                  </w14:solidFill>
                </w14:textFill>
              </w:rPr>
            </w:pPr>
            <w:r>
              <w:rPr>
                <w:rFonts w:hint="eastAsia" w:ascii="方正仿宋_GBK" w:hAnsi="仿宋"/>
                <w:kern w:val="0"/>
                <w:sz w:val="28"/>
                <w:szCs w:val="28"/>
              </w:rPr>
              <w:t>农村公路路长制度覆盖率（%）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100</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约束性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588" w:type="pct"/>
            <w:vMerge w:val="continue"/>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p>
        </w:tc>
        <w:tc>
          <w:tcPr>
            <w:tcW w:w="2765" w:type="pct"/>
            <w:shd w:val="clear" w:color="auto" w:fill="auto"/>
            <w:vAlign w:val="center"/>
          </w:tcPr>
          <w:p>
            <w:pPr>
              <w:widowControl/>
              <w:spacing w:line="240" w:lineRule="auto"/>
              <w:ind w:firstLine="0" w:firstLineChars="0"/>
              <w:jc w:val="center"/>
              <w:rPr>
                <w:rFonts w:hint="eastAsia" w:ascii="方正仿宋_GBK" w:hAnsi="仿宋"/>
                <w:kern w:val="0"/>
                <w:sz w:val="28"/>
                <w:szCs w:val="28"/>
              </w:rPr>
            </w:pPr>
            <w:r>
              <w:rPr>
                <w:rFonts w:hint="eastAsia" w:ascii="方正仿宋_GBK" w:hAnsi="仿宋"/>
                <w:kern w:val="0"/>
                <w:sz w:val="28"/>
                <w:szCs w:val="28"/>
              </w:rPr>
              <w:t>“十四五”普通国省道平均超限率（%）</w:t>
            </w:r>
          </w:p>
        </w:tc>
        <w:tc>
          <w:tcPr>
            <w:tcW w:w="509"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24"/>
                <w:sz w:val="28"/>
                <w:szCs w:val="28"/>
              </w:rPr>
              <w:t>1.7</w:t>
            </w:r>
          </w:p>
        </w:tc>
        <w:tc>
          <w:tcPr>
            <w:tcW w:w="497"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themeColor="dark1"/>
                <w:kern w:val="24"/>
                <w:sz w:val="28"/>
                <w:szCs w:val="28"/>
                <w14:textFill>
                  <w14:solidFill>
                    <w14:schemeClr w14:val="dk1"/>
                  </w14:solidFill>
                </w14:textFill>
              </w:rPr>
              <w:t>0.6</w:t>
            </w:r>
          </w:p>
        </w:tc>
        <w:tc>
          <w:tcPr>
            <w:tcW w:w="641" w:type="pct"/>
            <w:shd w:val="clear" w:color="auto" w:fill="auto"/>
            <w:vAlign w:val="center"/>
          </w:tcPr>
          <w:p>
            <w:pPr>
              <w:widowControl/>
              <w:spacing w:line="240" w:lineRule="auto"/>
              <w:ind w:firstLine="0" w:firstLineChars="0"/>
              <w:jc w:val="center"/>
              <w:rPr>
                <w:rFonts w:hint="eastAsia" w:ascii="方正仿宋_GBK" w:hAnsi="仿宋"/>
                <w:color w:val="000000"/>
                <w:kern w:val="0"/>
                <w:sz w:val="28"/>
                <w:szCs w:val="28"/>
              </w:rPr>
            </w:pPr>
            <w:r>
              <w:rPr>
                <w:rFonts w:hint="eastAsia" w:ascii="方正仿宋_GBK" w:hAnsi="仿宋"/>
                <w:color w:val="000000"/>
                <w:kern w:val="0"/>
                <w:sz w:val="28"/>
                <w:szCs w:val="28"/>
              </w:rPr>
              <w:t>预期性</w:t>
            </w:r>
          </w:p>
        </w:tc>
      </w:tr>
    </w:tbl>
    <w:p>
      <w:pPr>
        <w:widowControl/>
        <w:ind w:firstLine="640"/>
        <w:jc w:val="left"/>
        <w:rPr>
          <w:rFonts w:ascii="仿宋" w:hAnsi="仿宋" w:eastAsia="仿宋"/>
        </w:rPr>
      </w:pPr>
    </w:p>
    <w:p>
      <w:pPr>
        <w:widowControl/>
        <w:ind w:firstLine="640"/>
        <w:jc w:val="left"/>
        <w:rPr>
          <w:rFonts w:ascii="仿宋" w:hAnsi="仿宋" w:eastAsia="仿宋"/>
          <w:szCs w:val="24"/>
        </w:rPr>
      </w:pPr>
    </w:p>
    <w:p>
      <w:pPr>
        <w:widowControl/>
        <w:ind w:firstLine="640"/>
        <w:jc w:val="left"/>
        <w:rPr>
          <w:rFonts w:ascii="仿宋" w:hAnsi="仿宋" w:eastAsia="仿宋"/>
          <w:szCs w:val="24"/>
        </w:rPr>
        <w:sectPr>
          <w:pgSz w:w="16840" w:h="11900" w:orient="landscape"/>
          <w:pgMar w:top="1797" w:right="1440" w:bottom="1797" w:left="1440" w:header="720" w:footer="720" w:gutter="0"/>
          <w:pgNumType w:fmt="numberInDash"/>
          <w:cols w:space="425" w:num="1"/>
          <w:docGrid w:linePitch="435" w:charSpace="0"/>
        </w:sectPr>
      </w:pPr>
    </w:p>
    <w:p>
      <w:pPr>
        <w:spacing w:line="560" w:lineRule="exact"/>
        <w:ind w:firstLine="640"/>
        <w:rPr>
          <w:rFonts w:ascii="方正黑体_GBK" w:eastAsia="方正黑体_GBK"/>
        </w:rPr>
      </w:pPr>
      <w:bookmarkStart w:id="9" w:name="_Toc81426668"/>
      <w:r>
        <w:rPr>
          <w:rFonts w:hint="eastAsia" w:ascii="方正黑体_GBK" w:eastAsia="方正黑体_GBK"/>
        </w:rPr>
        <w:t>三、重点任务</w:t>
      </w:r>
      <w:bookmarkEnd w:id="9"/>
    </w:p>
    <w:p>
      <w:pPr>
        <w:spacing w:line="560" w:lineRule="exact"/>
        <w:ind w:firstLine="640"/>
        <w:rPr>
          <w:rFonts w:ascii="方正楷体_GBK" w:eastAsia="方正楷体_GBK"/>
        </w:rPr>
      </w:pPr>
      <w:bookmarkStart w:id="10" w:name="_Toc81426669"/>
      <w:r>
        <w:rPr>
          <w:rFonts w:hint="eastAsia" w:ascii="方正楷体_GBK" w:eastAsia="方正楷体_GBK"/>
        </w:rPr>
        <w:t>（一）构筑高效便捷的综合立体网络体系</w:t>
      </w:r>
      <w:bookmarkEnd w:id="10"/>
    </w:p>
    <w:p>
      <w:pPr>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1．完善多位一体的综合运输大通道</w:t>
      </w:r>
    </w:p>
    <w:p>
      <w:pPr>
        <w:spacing w:line="560" w:lineRule="exact"/>
        <w:ind w:firstLine="640"/>
        <w:contextualSpacing/>
        <w:rPr>
          <w:rFonts w:ascii="方正仿宋_GBK"/>
          <w:szCs w:val="32"/>
        </w:rPr>
      </w:pPr>
      <w:r>
        <w:rPr>
          <w:rFonts w:hint="eastAsia" w:ascii="方正仿宋_GBK"/>
          <w:szCs w:val="32"/>
        </w:rPr>
        <w:t>（1）推动铁路建设大发展</w:t>
      </w:r>
    </w:p>
    <w:p>
      <w:pPr>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新开工轨道交通65公里。</w:t>
      </w:r>
    </w:p>
    <w:p>
      <w:pPr>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①高速铁路</w:t>
      </w:r>
    </w:p>
    <w:p>
      <w:pPr>
        <w:spacing w:line="560" w:lineRule="exact"/>
        <w:ind w:firstLine="640"/>
        <w:contextualSpacing/>
        <w:rPr>
          <w:rFonts w:ascii="方正仿宋_GBK"/>
          <w:szCs w:val="32"/>
        </w:rPr>
      </w:pPr>
      <w:r>
        <w:rPr>
          <w:rFonts w:hint="eastAsia" w:ascii="方正仿宋_GBK"/>
          <w:bCs/>
          <w:color w:val="000000" w:themeColor="text1"/>
          <w:szCs w:val="32"/>
          <w14:textFill>
            <w14:solidFill>
              <w14:schemeClr w14:val="tx1"/>
            </w14:solidFill>
          </w14:textFill>
        </w:rPr>
        <w:t>开工建设</w:t>
      </w:r>
      <w:r>
        <w:rPr>
          <w:rFonts w:hint="eastAsia" w:ascii="方正仿宋_GBK"/>
          <w:szCs w:val="32"/>
        </w:rPr>
        <w:t>盐泰锡常宜铁路，境内与现有新长铁路、锡宜高速通道基本平行，接入宜兴高铁站，设计速度350公里/小时。</w:t>
      </w:r>
    </w:p>
    <w:p>
      <w:pPr>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szCs w:val="32"/>
        </w:rPr>
        <w:t>开展宜兴至湖州高铁前期研究，向北与盐泰锡常宜铁路贯通，向南经过湖州连接杭州，形成盐城经无锡至杭州的长三角城际铁路网纵向干线，与通苏嘉甬共同形成太湖东、西两侧长三角南北向快速联系铁路通道，同时通过衔接沪苏湖铁路，经湖州便捷联系上海。</w:t>
      </w:r>
    </w:p>
    <w:p>
      <w:pPr>
        <w:spacing w:line="560" w:lineRule="exact"/>
        <w:ind w:firstLine="640"/>
        <w:contextualSpacing/>
        <w:rPr>
          <w:rFonts w:ascii="方正仿宋_GBK"/>
          <w:szCs w:val="32"/>
        </w:rPr>
      </w:pPr>
      <w:r>
        <w:rPr>
          <w:rFonts w:hint="eastAsia" w:ascii="方正仿宋_GBK"/>
          <w:szCs w:val="32"/>
        </w:rPr>
        <w:t>②市郊铁路</w:t>
      </w:r>
    </w:p>
    <w:p>
      <w:pPr>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开工建设</w:t>
      </w:r>
      <w:r>
        <w:rPr>
          <w:rFonts w:hint="eastAsia" w:ascii="方正仿宋_GBK"/>
          <w:szCs w:val="32"/>
        </w:rPr>
        <w:t>锡宜城际轨道S2</w:t>
      </w:r>
      <w:r>
        <w:rPr>
          <w:rFonts w:hint="eastAsia" w:ascii="方正仿宋_GBK"/>
          <w:bCs/>
          <w:color w:val="000000" w:themeColor="text1"/>
          <w:szCs w:val="32"/>
          <w14:textFill>
            <w14:solidFill>
              <w14:schemeClr w14:val="tx1"/>
            </w14:solidFill>
          </w14:textFill>
        </w:rPr>
        <w:t>，设计时速160公里/时，按苏锡常快线相同标准与制式建设。</w:t>
      </w:r>
    </w:p>
    <w:p>
      <w:pPr>
        <w:spacing w:line="560" w:lineRule="exact"/>
        <w:ind w:firstLine="640"/>
        <w:contextualSpacing/>
        <w:rPr>
          <w:rFonts w:ascii="方正仿宋_GBK"/>
          <w:szCs w:val="32"/>
        </w:rPr>
      </w:pPr>
      <w:r>
        <w:rPr>
          <w:rFonts w:hint="eastAsia" w:ascii="方正仿宋_GBK"/>
          <w:szCs w:val="32"/>
        </w:rPr>
        <w:t>开展市郊铁路S2南延前期研究，构建环太湖市郊快线，争取纳入部、省规划。</w:t>
      </w:r>
    </w:p>
    <w:p>
      <w:pPr>
        <w:spacing w:line="560" w:lineRule="exact"/>
        <w:ind w:firstLine="640"/>
        <w:contextualSpacing/>
        <w:rPr>
          <w:rFonts w:ascii="方正仿宋_GBK"/>
          <w:szCs w:val="32"/>
        </w:rPr>
      </w:pPr>
      <w:r>
        <w:rPr>
          <w:rFonts w:hint="eastAsia" w:ascii="方正仿宋_GBK"/>
          <w:szCs w:val="32"/>
        </w:rPr>
        <w:t>③城际铁路</w:t>
      </w:r>
    </w:p>
    <w:p>
      <w:pPr>
        <w:spacing w:line="560" w:lineRule="exact"/>
        <w:ind w:firstLine="640"/>
        <w:contextualSpacing/>
        <w:rPr>
          <w:rFonts w:ascii="方正仿宋_GBK"/>
          <w:szCs w:val="32"/>
        </w:rPr>
      </w:pPr>
      <w:r>
        <w:rPr>
          <w:rFonts w:hint="eastAsia" w:ascii="方正仿宋_GBK"/>
          <w:szCs w:val="32"/>
        </w:rPr>
        <w:t>预控南京-溧阳-宜兴城际线，向西衔接南京地铁S7东延线，实现南京都市圈与苏锡常都市圈的融合。</w:t>
      </w:r>
    </w:p>
    <w:p>
      <w:pPr>
        <w:spacing w:line="560" w:lineRule="exact"/>
        <w:ind w:firstLine="640"/>
        <w:contextualSpacing/>
        <w:rPr>
          <w:rFonts w:ascii="方正仿宋_GBK"/>
          <w:szCs w:val="32"/>
        </w:rPr>
      </w:pPr>
      <w:r>
        <w:rPr>
          <w:rFonts w:hint="eastAsia" w:ascii="方正仿宋_GBK"/>
          <w:szCs w:val="32"/>
        </w:rPr>
        <w:t>④普通铁路</w:t>
      </w:r>
    </w:p>
    <w:p>
      <w:pPr>
        <w:adjustRightInd w:val="0"/>
        <w:spacing w:line="560" w:lineRule="exact"/>
        <w:ind w:firstLine="640"/>
        <w:contextualSpacing/>
        <w:rPr>
          <w:rFonts w:ascii="方正仿宋_GBK"/>
          <w:szCs w:val="32"/>
        </w:rPr>
      </w:pPr>
      <w:r>
        <w:rPr>
          <w:rFonts w:hint="eastAsia" w:ascii="方正仿宋_GBK"/>
          <w:szCs w:val="32"/>
        </w:rPr>
        <w:t>开展新长铁路电气化改造工程前期研究，设计速度提升至200公里/小时,同步完成新长铁路道口平改立工程。规划远期调整新长铁路和桥至梅园段线位，沿S262西侧与盐泰锡常宜铁路共用通道。提升新长铁路的货运能级，响应《交通强国建设纲要》中推进大宗货物及中长距离运输向铁路和水运有序转移的要求，实现与区域江海港互联直达，与连云港、南京等国家中欧班列枢纽节点互联通，拓展与中亚、中欧、东南亚直达班列。进一步研究新长铁路改线可行性，预控改线线位，减少铁路对城市的分割。</w:t>
      </w:r>
    </w:p>
    <w:p>
      <w:pPr>
        <w:adjustRightInd w:val="0"/>
        <w:spacing w:line="560" w:lineRule="exact"/>
        <w:ind w:firstLine="640"/>
        <w:contextualSpacing/>
        <w:rPr>
          <w:rFonts w:ascii="方正仿宋_GBK"/>
          <w:szCs w:val="32"/>
        </w:rPr>
      </w:pPr>
      <w:r>
        <w:rPr>
          <w:rFonts w:hint="eastAsia" w:ascii="方正仿宋_GBK"/>
          <w:szCs w:val="32"/>
        </w:rPr>
        <w:t>⑤铁路枢纽</w:t>
      </w:r>
    </w:p>
    <w:p>
      <w:pPr>
        <w:adjustRightInd w:val="0"/>
        <w:spacing w:line="560" w:lineRule="exact"/>
        <w:ind w:firstLine="640"/>
        <w:contextualSpacing/>
        <w:rPr>
          <w:rFonts w:ascii="方正仿宋_GBK"/>
          <w:szCs w:val="32"/>
        </w:rPr>
      </w:pPr>
      <w:r>
        <w:rPr>
          <w:rFonts w:hint="eastAsia" w:ascii="方正仿宋_GBK"/>
          <w:szCs w:val="32"/>
        </w:rPr>
        <w:t>高铁宜兴站改扩建。结合盐泰锡常宜铁路、锡宜城际轨道S2和城南公交首末站建设，改造高铁宜兴站。</w:t>
      </w:r>
    </w:p>
    <w:p>
      <w:pPr>
        <w:adjustRightInd w:val="0"/>
        <w:spacing w:line="560" w:lineRule="exact"/>
        <w:ind w:firstLine="640"/>
        <w:contextualSpacing/>
        <w:rPr>
          <w:rFonts w:ascii="方正仿宋_GBK"/>
          <w:szCs w:val="32"/>
        </w:rPr>
      </w:pPr>
      <w:r>
        <w:rPr>
          <w:rFonts w:hint="eastAsia" w:ascii="方正仿宋_GBK"/>
          <w:szCs w:val="32"/>
        </w:rPr>
        <w:t>锡宜城际轨道S2城东综合客运枢纽。结合锡宜城际轨道S2人民广场站建设换乘中心，设置地下P+R停车场，停车场与下沉广场连通，与地铁无缝换乘。</w:t>
      </w:r>
    </w:p>
    <w:p>
      <w:pPr>
        <w:adjustRightInd w:val="0"/>
        <w:spacing w:line="560" w:lineRule="exact"/>
        <w:ind w:firstLine="640"/>
        <w:contextualSpacing/>
        <w:rPr>
          <w:rFonts w:ascii="方正仿宋_GBK"/>
          <w:szCs w:val="32"/>
        </w:rPr>
      </w:pPr>
      <w:r>
        <w:rPr>
          <w:rFonts w:hint="eastAsia" w:ascii="方正仿宋_GBK"/>
          <w:szCs w:val="32"/>
        </w:rPr>
        <w:t>规划预控宜兴西站客运枢纽。结合市域及城区西北地区铁路客运需求，落实盐泰锡常宜铁路可行性研究报告规划内容，积极配合盐泰锡常宜铁路及其南延线建设，做好宜兴西站空间预控工作。</w:t>
      </w:r>
    </w:p>
    <w:p>
      <w:pPr>
        <w:adjustRightInd w:val="0"/>
        <w:spacing w:line="560" w:lineRule="exact"/>
        <w:ind w:firstLine="640"/>
        <w:contextualSpacing/>
        <w:rPr>
          <w:rFonts w:ascii="方正仿宋_GBK"/>
          <w:szCs w:val="32"/>
        </w:rPr>
      </w:pPr>
      <w:r>
        <w:rPr>
          <w:rFonts w:hint="eastAsia" w:ascii="方正仿宋_GBK"/>
          <w:szCs w:val="32"/>
        </w:rPr>
        <w:t>加强宜兴北站综合货运枢纽规划研究。基于新长铁路复线电气化改造及宜兴段改线预控研究工作，打造宜兴北站综合货运枢纽，建设多式联运发展重要载体。</w:t>
      </w:r>
    </w:p>
    <w:p>
      <w:pPr>
        <w:adjustRightInd w:val="0"/>
        <w:spacing w:line="560" w:lineRule="exact"/>
        <w:ind w:firstLine="640"/>
        <w:contextualSpacing/>
        <w:rPr>
          <w:rFonts w:ascii="方正仿宋_GBK"/>
          <w:szCs w:val="32"/>
        </w:rPr>
      </w:pPr>
      <w:r>
        <w:rPr>
          <w:rFonts w:hint="eastAsia" w:ascii="方正仿宋_GBK"/>
          <w:szCs w:val="32"/>
        </w:rPr>
        <w:t>（2）加快干线航道建设</w:t>
      </w:r>
    </w:p>
    <w:p>
      <w:pPr>
        <w:adjustRightInd w:val="0"/>
        <w:spacing w:line="560" w:lineRule="exact"/>
        <w:ind w:firstLine="640"/>
        <w:contextualSpacing/>
        <w:rPr>
          <w:rFonts w:ascii="方正仿宋_GBK"/>
          <w:szCs w:val="32"/>
        </w:rPr>
      </w:pPr>
      <w:r>
        <w:rPr>
          <w:rFonts w:hint="eastAsia" w:ascii="方正仿宋_GBK"/>
          <w:szCs w:val="32"/>
        </w:rPr>
        <w:t>建成通航21.5公里，新开工32.5公里。</w:t>
      </w:r>
    </w:p>
    <w:p>
      <w:pPr>
        <w:adjustRightInd w:val="0"/>
        <w:spacing w:line="560" w:lineRule="exact"/>
        <w:ind w:firstLine="640"/>
        <w:contextualSpacing/>
        <w:rPr>
          <w:rFonts w:ascii="方正仿宋_GBK"/>
          <w:szCs w:val="32"/>
        </w:rPr>
      </w:pPr>
      <w:r>
        <w:rPr>
          <w:rFonts w:hint="eastAsia" w:ascii="方正仿宋_GBK"/>
          <w:szCs w:val="32"/>
        </w:rPr>
        <w:t>完成锡溧漕河三级航道整治。开展锡溧漕河和桥镇区段改线前期研究，将航道通航能力将提升至1000吨级，承担市域南北向骨架航道功能。</w:t>
      </w:r>
    </w:p>
    <w:p>
      <w:pPr>
        <w:spacing w:line="560" w:lineRule="exact"/>
        <w:ind w:firstLine="640"/>
        <w:contextualSpacing/>
        <w:rPr>
          <w:rFonts w:ascii="方正仿宋_GBK"/>
          <w:szCs w:val="32"/>
        </w:rPr>
      </w:pPr>
      <w:r>
        <w:rPr>
          <w:rFonts w:hint="eastAsia" w:ascii="方正仿宋_GBK"/>
          <w:szCs w:val="32"/>
        </w:rPr>
        <w:t>开工建设芜申运河西氿段三级航道整治工程，其中锡溧漕河以西段为三级航道，锡溧漕河以东改通湛渎河,保留五级航道规划。</w:t>
      </w:r>
    </w:p>
    <w:p>
      <w:pPr>
        <w:spacing w:line="560" w:lineRule="exact"/>
        <w:ind w:firstLine="640"/>
        <w:contextualSpacing/>
        <w:rPr>
          <w:rFonts w:ascii="方正仿宋_GBK"/>
          <w:szCs w:val="32"/>
        </w:rPr>
      </w:pPr>
      <w:r>
        <w:rPr>
          <w:rFonts w:hint="eastAsia" w:ascii="方正仿宋_GBK"/>
          <w:szCs w:val="32"/>
        </w:rPr>
        <w:t>（3）打造“三纵一横”高速网络</w:t>
      </w:r>
    </w:p>
    <w:p>
      <w:pPr>
        <w:spacing w:line="560" w:lineRule="exact"/>
        <w:ind w:firstLine="640"/>
        <w:contextualSpacing/>
        <w:rPr>
          <w:rFonts w:ascii="方正仿宋_GBK"/>
          <w:szCs w:val="32"/>
        </w:rPr>
      </w:pPr>
      <w:r>
        <w:rPr>
          <w:rFonts w:hint="eastAsia" w:ascii="方正仿宋_GBK"/>
          <w:szCs w:val="32"/>
        </w:rPr>
        <w:t>建成通车64公里。建成锡宜高速公路扩建工程，由双向四车道扩建为双向八车道。力争建成宜长高速北延，设计标准为双向六车道，设计时速为120公里/小时。开展常宜高速南延前期研究。同步规划建设高速互通，新建宜长高速阳羡互通。</w:t>
      </w:r>
    </w:p>
    <w:p>
      <w:pPr>
        <w:spacing w:line="560" w:lineRule="exact"/>
        <w:ind w:firstLine="640"/>
        <w:contextualSpacing/>
        <w:rPr>
          <w:rFonts w:ascii="方正仿宋_GBK"/>
          <w:szCs w:val="32"/>
        </w:rPr>
      </w:pPr>
      <w:r>
        <w:rPr>
          <w:rFonts w:hint="eastAsia" w:ascii="方正仿宋_GBK"/>
          <w:szCs w:val="32"/>
        </w:rPr>
        <w:t>（4）完成通用机场建设</w:t>
      </w:r>
    </w:p>
    <w:p>
      <w:pPr>
        <w:spacing w:line="560" w:lineRule="exact"/>
        <w:ind w:firstLine="640"/>
        <w:contextualSpacing/>
        <w:rPr>
          <w:rFonts w:ascii="方正仿宋_GBK"/>
          <w:szCs w:val="32"/>
        </w:rPr>
      </w:pPr>
      <w:r>
        <w:rPr>
          <w:rFonts w:hint="eastAsia" w:ascii="方正仿宋_GBK"/>
          <w:szCs w:val="32"/>
        </w:rPr>
        <w:t>建成800米×30米跑道及航管等设施，完成机场连接线建设，支撑带动规模化、特色化通用航空产业集聚区（通航产业园、通用航空小镇等）发展。远期规划建设1800—2200米跑道，达到4C级机场标准。</w:t>
      </w:r>
    </w:p>
    <w:p>
      <w:pPr>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2．提升普通国省道网服务水平</w:t>
      </w:r>
    </w:p>
    <w:p>
      <w:pPr>
        <w:spacing w:line="560" w:lineRule="exact"/>
        <w:ind w:firstLine="640"/>
        <w:contextualSpacing/>
        <w:rPr>
          <w:rFonts w:ascii="方正仿宋_GBK"/>
          <w:szCs w:val="32"/>
        </w:rPr>
      </w:pPr>
      <w:r>
        <w:rPr>
          <w:rFonts w:hint="eastAsia" w:ascii="方正仿宋_GBK"/>
          <w:szCs w:val="32"/>
        </w:rPr>
        <w:t>（1）快速路</w:t>
      </w:r>
    </w:p>
    <w:p>
      <w:pPr>
        <w:spacing w:line="560" w:lineRule="exact"/>
        <w:ind w:firstLine="640"/>
        <w:contextualSpacing/>
        <w:rPr>
          <w:rFonts w:ascii="方正仿宋_GBK"/>
          <w:szCs w:val="32"/>
        </w:rPr>
      </w:pPr>
      <w:r>
        <w:rPr>
          <w:rFonts w:hint="eastAsia" w:ascii="方正仿宋_GBK"/>
          <w:szCs w:val="32"/>
        </w:rPr>
        <w:t>新开工84公里，建成16公里.</w:t>
      </w:r>
    </w:p>
    <w:p>
      <w:pPr>
        <w:spacing w:line="560" w:lineRule="exact"/>
        <w:ind w:firstLine="640"/>
        <w:contextualSpacing/>
        <w:rPr>
          <w:rFonts w:ascii="方正仿宋_GBK"/>
          <w:szCs w:val="32"/>
        </w:rPr>
      </w:pPr>
      <w:r>
        <w:rPr>
          <w:rFonts w:hint="eastAsia" w:ascii="方正仿宋_GBK"/>
          <w:szCs w:val="32"/>
        </w:rPr>
        <w:t>一是快速内环项目。新开工庆源大道、西氿大道、站前大道节点改造工程，打造城市快速环线。</w:t>
      </w:r>
    </w:p>
    <w:p>
      <w:pPr>
        <w:spacing w:line="560" w:lineRule="exact"/>
        <w:ind w:firstLine="640"/>
        <w:contextualSpacing/>
        <w:rPr>
          <w:rFonts w:ascii="方正仿宋_GBK"/>
          <w:szCs w:val="32"/>
        </w:rPr>
      </w:pPr>
      <w:r>
        <w:rPr>
          <w:rFonts w:hint="eastAsia" w:ascii="方正仿宋_GBK"/>
          <w:szCs w:val="32"/>
        </w:rPr>
        <w:t>二是区域一体化项目。建成宜马快速通道和范蠡大道北延一期，快速连接无锡。新开工范蠡大道北延二期，快速连接常州。</w:t>
      </w:r>
    </w:p>
    <w:p>
      <w:pPr>
        <w:adjustRightInd w:val="0"/>
        <w:spacing w:line="560" w:lineRule="exact"/>
        <w:ind w:firstLine="640"/>
        <w:contextualSpacing/>
        <w:rPr>
          <w:rFonts w:ascii="方正仿宋_GBK"/>
          <w:szCs w:val="32"/>
        </w:rPr>
      </w:pPr>
      <w:r>
        <w:rPr>
          <w:rFonts w:hint="eastAsia" w:ascii="方正仿宋_GBK"/>
          <w:szCs w:val="32"/>
        </w:rPr>
        <w:t>三是主要节点连通项目。新开工G104环科园至丁蜀段，快速连接宜城和丁蜀。新开工S230周铁段改造工程，服务大拈花湾，绕越城镇节点。开展S240快速化改造前期研究，快速连接宜城和官林、新建。</w:t>
      </w:r>
    </w:p>
    <w:p>
      <w:pPr>
        <w:adjustRightInd w:val="0"/>
        <w:spacing w:line="560" w:lineRule="exact"/>
        <w:ind w:firstLine="640"/>
        <w:contextualSpacing/>
        <w:rPr>
          <w:rFonts w:ascii="方正楷体_GBK" w:eastAsia="方正楷体_GBK"/>
          <w:szCs w:val="32"/>
        </w:rPr>
      </w:pPr>
      <w:r>
        <w:rPr>
          <w:rFonts w:hint="eastAsia" w:ascii="方正楷体_GBK" w:eastAsia="方正楷体_GBK"/>
          <w:szCs w:val="32"/>
        </w:rPr>
        <w:t>（2）普通国省道</w:t>
      </w:r>
    </w:p>
    <w:p>
      <w:pPr>
        <w:adjustRightInd w:val="0"/>
        <w:spacing w:line="560" w:lineRule="exact"/>
        <w:ind w:firstLine="640"/>
        <w:contextualSpacing/>
        <w:rPr>
          <w:rFonts w:ascii="方正仿宋_GBK"/>
          <w:szCs w:val="32"/>
        </w:rPr>
      </w:pPr>
      <w:r>
        <w:rPr>
          <w:rFonts w:hint="eastAsia" w:ascii="方正仿宋_GBK"/>
          <w:szCs w:val="32"/>
        </w:rPr>
        <w:t>建成70公里，范蠡大道及其北延和站前大道、兴杨公路规划为新增省道，形成“五纵五横”的普通国省道布局。其中S341建成通车，完善区域路网，打造绕越外环；S360全线建成通车，完善区域路网，服务旅游发展，打造绕越外环；S263徐舍改线段建成通车，绕越相关城镇节点；开工建设S342局部改线，绕越相关城镇节点；开展S230宜兴段改扩建前期研究，解决通行能力不足的问题，打造绕越外环；开展兴杨公路扩建前期研究，提升规划省道技术等级。</w:t>
      </w:r>
    </w:p>
    <w:p>
      <w:pPr>
        <w:adjustRightInd w:val="0"/>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3．推进地方干线公路建设</w:t>
      </w:r>
    </w:p>
    <w:p>
      <w:pPr>
        <w:adjustRightInd w:val="0"/>
        <w:spacing w:line="560" w:lineRule="exact"/>
        <w:ind w:firstLine="640"/>
        <w:contextualSpacing/>
        <w:rPr>
          <w:rFonts w:ascii="方正仿宋_GBK"/>
          <w:szCs w:val="32"/>
        </w:rPr>
      </w:pPr>
      <w:r>
        <w:rPr>
          <w:rFonts w:hint="eastAsia" w:ascii="方正仿宋_GBK"/>
          <w:szCs w:val="32"/>
        </w:rPr>
        <w:t>新改建县道建设项目38.5公里，重点解决规划县道落地、通行能力提升的问题。新改建地方重要连接道路20公里，重点解决路网中断头路、瓶颈路的问题。</w:t>
      </w:r>
    </w:p>
    <w:p>
      <w:pPr>
        <w:adjustRightInd w:val="0"/>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4．加强南部山区旅游道路建设</w:t>
      </w:r>
    </w:p>
    <w:p>
      <w:pPr>
        <w:adjustRightInd w:val="0"/>
        <w:spacing w:line="560" w:lineRule="exact"/>
        <w:ind w:firstLine="640"/>
        <w:contextualSpacing/>
        <w:rPr>
          <w:rFonts w:ascii="方正仿宋_GBK"/>
          <w:szCs w:val="32"/>
        </w:rPr>
      </w:pPr>
      <w:r>
        <w:rPr>
          <w:rFonts w:hint="eastAsia" w:ascii="方正仿宋_GBK"/>
          <w:szCs w:val="32"/>
        </w:rPr>
        <w:t>新改建南部山区旅游公路重点项目48.9公里，重点解决南部山区各景点对外出行和内部连接的问题。建成芙林路、画溪路、莲花荡路、张灵慕线（改扩建）、汤省线（改扩建），开展龙海路隧道、阳灵隧道复线、潼芙线前期研究。</w:t>
      </w:r>
    </w:p>
    <w:p>
      <w:pPr>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5．打造农村公路+特色融合示范线路</w:t>
      </w:r>
    </w:p>
    <w:p>
      <w:pPr>
        <w:adjustRightInd w:val="0"/>
        <w:spacing w:line="560" w:lineRule="exact"/>
        <w:ind w:firstLine="640"/>
        <w:contextualSpacing/>
        <w:rPr>
          <w:rFonts w:ascii="方正仿宋_GBK"/>
          <w:szCs w:val="32"/>
        </w:rPr>
      </w:pPr>
      <w:r>
        <w:rPr>
          <w:rFonts w:hint="eastAsia" w:ascii="方正仿宋_GBK"/>
          <w:szCs w:val="32"/>
        </w:rPr>
        <w:t>（1）宜兴市环太湖“四好农村路”一体化建设全国示范路</w:t>
      </w:r>
    </w:p>
    <w:p>
      <w:pPr>
        <w:spacing w:line="560" w:lineRule="exact"/>
        <w:ind w:firstLine="640"/>
        <w:contextualSpacing/>
        <w:rPr>
          <w:rFonts w:ascii="方正仿宋_GBK"/>
          <w:szCs w:val="32"/>
        </w:rPr>
      </w:pPr>
      <w:r>
        <w:rPr>
          <w:rFonts w:hint="eastAsia" w:ascii="方正仿宋_GBK"/>
          <w:szCs w:val="32"/>
        </w:rPr>
        <w:t>共计73.1公里，环境提升48.2公里，提档升级21.6公里，新建3.3公里。贯通宜兴太湖流域，实现对文旅、产业、城市景观的多方位跨界支持，提升宜兴城市形象和文化传播力、辐射力，促进各产业生态的提升、创新与发展。</w:t>
      </w:r>
    </w:p>
    <w:p>
      <w:pPr>
        <w:spacing w:line="560" w:lineRule="exact"/>
        <w:ind w:firstLine="640"/>
        <w:contextualSpacing/>
        <w:rPr>
          <w:rFonts w:ascii="方正仿宋_GBK"/>
          <w:szCs w:val="32"/>
        </w:rPr>
      </w:pPr>
      <w:r>
        <w:rPr>
          <w:rFonts w:hint="eastAsia" w:ascii="方正仿宋_GBK"/>
          <w:szCs w:val="32"/>
        </w:rPr>
        <w:t>（2）农村公路品牌提升</w:t>
      </w:r>
    </w:p>
    <w:p>
      <w:pPr>
        <w:spacing w:line="560" w:lineRule="exact"/>
        <w:ind w:firstLine="640"/>
        <w:contextualSpacing/>
        <w:rPr>
          <w:rFonts w:ascii="方正仿宋_GBK"/>
          <w:szCs w:val="32"/>
        </w:rPr>
      </w:pPr>
      <w:r>
        <w:rPr>
          <w:rFonts w:hint="eastAsia" w:ascii="方正仿宋_GBK"/>
          <w:szCs w:val="32"/>
        </w:rPr>
        <w:t>①“农村公路+旅游”融合发展工程：一期工程涵盖了川善线、善龙线、双湖路、张灵慕线、蒋张线五条公路，总长约47公里，开展绿化梳理及环境整治工作，新建景观节点、驿站、景观小品、观景平台、农村公路服务区，完善全线的公交站台、垃圾箱、标识牌等配套设施。二期工程增加丁张公路、S360、汤省线，串联雅达小镇、窑湖小镇、云湖景区；打造旅游绿道、步道，以核心景区为中心，形成绿道主环线。结合雅达小镇等旅游项目开发，打造阳羡湖环湖绿道等一批示范项目。</w:t>
      </w:r>
    </w:p>
    <w:p>
      <w:pPr>
        <w:spacing w:line="560" w:lineRule="exact"/>
        <w:ind w:firstLine="640"/>
        <w:contextualSpacing/>
        <w:rPr>
          <w:rFonts w:ascii="方正仿宋_GBK"/>
          <w:szCs w:val="32"/>
        </w:rPr>
      </w:pPr>
      <w:r>
        <w:rPr>
          <w:rFonts w:hint="eastAsia" w:ascii="方正仿宋_GBK"/>
          <w:szCs w:val="32"/>
        </w:rPr>
        <w:t>②“农村公路+产业”融合发展工程：推动农村公路与农村产业项目同步建设和发展，优化“农村公路+农业”发展模式，以杨巷镇、万石镇为试点加快完善沿线交通服务条件，形成农业农产品规模化经营；以官林镇、高塍镇为试点优化“农村公路+工业”发展模式，进一步降低企业交通成本，同时以重载需求为导向，着力完善路面结构；优化“农村公路+物流”模式，完善订制生产、定点销售的农村物流体系。打造一批产业致富路，实现农村公路直通田间地头、进厂入企。</w:t>
      </w:r>
    </w:p>
    <w:p>
      <w:pPr>
        <w:adjustRightInd w:val="0"/>
        <w:spacing w:line="560" w:lineRule="exact"/>
        <w:ind w:firstLine="640"/>
        <w:contextualSpacing/>
        <w:rPr>
          <w:rFonts w:ascii="方正仿宋_GBK"/>
          <w:szCs w:val="32"/>
        </w:rPr>
      </w:pPr>
      <w:r>
        <w:rPr>
          <w:rFonts w:hint="eastAsia" w:ascii="方正仿宋_GBK"/>
          <w:szCs w:val="32"/>
        </w:rPr>
        <w:t>③“农村公路+文化”打融合发展工程：将传统建筑、乡村文化、地域风貌、民族特色等融入农村公路道路主体工程及驿站、停车场、观景台等附属设施建设中。以周铁镇、丁蜀镇为试点建成一批品牌农路示范线路，创建一批品牌公交线路，推动品牌效应不断提升。</w:t>
      </w:r>
    </w:p>
    <w:p>
      <w:pPr>
        <w:adjustRightInd w:val="0"/>
        <w:spacing w:line="560" w:lineRule="exact"/>
        <w:ind w:firstLine="640"/>
        <w:contextualSpacing/>
        <w:rPr>
          <w:rFonts w:ascii="方正仿宋_GBK"/>
          <w:szCs w:val="32"/>
        </w:rPr>
      </w:pPr>
      <w:r>
        <w:rPr>
          <w:rFonts w:hint="eastAsia" w:ascii="方正仿宋_GBK"/>
          <w:szCs w:val="32"/>
        </w:rPr>
        <w:t>（3）打造覆盖广泛的农村交通基础网络</w:t>
      </w:r>
    </w:p>
    <w:p>
      <w:pPr>
        <w:adjustRightInd w:val="0"/>
        <w:spacing w:line="560" w:lineRule="exact"/>
        <w:ind w:firstLine="640"/>
        <w:contextualSpacing/>
        <w:rPr>
          <w:rFonts w:ascii="方正仿宋_GBK"/>
          <w:szCs w:val="32"/>
        </w:rPr>
      </w:pPr>
      <w:r>
        <w:rPr>
          <w:rFonts w:hint="eastAsia" w:ascii="方正仿宋_GBK"/>
          <w:szCs w:val="32"/>
        </w:rPr>
        <w:t>继续实施农村公路提档升级，打通断头路，提升瓶颈路，5年改造镇村道路300公里，同步改造动态新增的危旧桥100座。</w:t>
      </w:r>
    </w:p>
    <w:p>
      <w:pPr>
        <w:adjustRightInd w:val="0"/>
        <w:spacing w:line="560" w:lineRule="exact"/>
        <w:ind w:firstLine="640"/>
        <w:contextualSpacing/>
        <w:rPr>
          <w:rFonts w:ascii="方正楷体_GBK" w:eastAsia="方正楷体_GBK"/>
          <w:szCs w:val="32"/>
        </w:rPr>
      </w:pPr>
      <w:bookmarkStart w:id="11" w:name="_Toc81426670"/>
      <w:r>
        <w:rPr>
          <w:rFonts w:hint="eastAsia" w:ascii="方正楷体_GBK" w:eastAsia="方正楷体_GBK"/>
          <w:szCs w:val="32"/>
        </w:rPr>
        <w:t>（二）完善优质惠民的公共出行服务体系</w:t>
      </w:r>
      <w:bookmarkEnd w:id="11"/>
    </w:p>
    <w:p>
      <w:pPr>
        <w:adjustRightInd w:val="0"/>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1．提升综合客运枢纽一体化水平</w:t>
      </w:r>
    </w:p>
    <w:p>
      <w:pPr>
        <w:adjustRightInd w:val="0"/>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szCs w:val="32"/>
        </w:rPr>
        <w:t>依托铁路站建设综合客运枢纽，进一步强化不同运输方式间的有效衔接，并注重与城市功能的有机融合。重点推进宜兴站改扩建，为路线联通提供规模支持；支持城际铁路、市域（郊）铁路进城，推进锡宜城际轨道S2综合客运枢纽建设。</w:t>
      </w:r>
    </w:p>
    <w:p>
      <w:pPr>
        <w:adjustRightInd w:val="0"/>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2．打造以轨道为核心的城际客运网络</w:t>
      </w:r>
    </w:p>
    <w:p>
      <w:pPr>
        <w:adjustRightInd w:val="0"/>
        <w:spacing w:line="560" w:lineRule="exact"/>
        <w:ind w:firstLine="640"/>
        <w:contextualSpacing/>
        <w:rPr>
          <w:rFonts w:ascii="方正仿宋_GBK"/>
          <w:szCs w:val="32"/>
        </w:rPr>
      </w:pPr>
      <w:r>
        <w:rPr>
          <w:rFonts w:hint="eastAsia" w:ascii="方正仿宋_GBK"/>
          <w:szCs w:val="32"/>
        </w:rPr>
        <w:t>积极与上海铁路局争取加密至北京、上海等中心城市的高铁班线班次。积极应对高铁效应产生的游客快速增长趋势，满足游客快速进城、直达旅游目的地和酒店的需求，依托宜兴高铁站，大力推广旅游直通车，并在酒店设置停靠站。加强公路客运对宜兴高铁站、周边机场的接驳配套，联合铁路部门推进联程联网运输发展，鼓励“一票制”客运联程联网。</w:t>
      </w:r>
    </w:p>
    <w:p>
      <w:pPr>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3．深入实施公交优先战略</w:t>
      </w:r>
    </w:p>
    <w:p>
      <w:pPr>
        <w:spacing w:line="560" w:lineRule="exact"/>
        <w:ind w:firstLine="640"/>
        <w:contextualSpacing/>
        <w:rPr>
          <w:rFonts w:ascii="方正仿宋_GBK"/>
          <w:szCs w:val="32"/>
        </w:rPr>
      </w:pPr>
      <w:r>
        <w:rPr>
          <w:rFonts w:hint="eastAsia" w:ascii="方正仿宋_GBK"/>
          <w:szCs w:val="32"/>
        </w:rPr>
        <w:t>优化线网布局，调整功能重复、走向不合理或客流量小的线路。规划新线或调整既有线路覆盖空白区域，重点规划好外围区域与市内交通主枢纽、工业区和商业综合体的换乘衔接。开展城市公交专用道研究，选取道路适时布设。拓展公交服务范围，积极发展毗邻公交、定制公交、夜间公交、社区公交等多层次、多品种公交服务。</w:t>
      </w:r>
    </w:p>
    <w:p>
      <w:pPr>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4．加快推进全域公交发展</w:t>
      </w:r>
    </w:p>
    <w:p>
      <w:pPr>
        <w:spacing w:line="560" w:lineRule="exact"/>
        <w:ind w:firstLine="640"/>
        <w:contextualSpacing/>
        <w:rPr>
          <w:rFonts w:ascii="方正仿宋_GBK"/>
          <w:szCs w:val="32"/>
        </w:rPr>
      </w:pPr>
      <w:r>
        <w:rPr>
          <w:rFonts w:hint="eastAsia" w:ascii="方正仿宋_GBK"/>
          <w:szCs w:val="32"/>
        </w:rPr>
        <w:t>建设芳桥公交首末站、城南公交首末站、高塍红塔公交首末站。建设城乡公交候车亭175只。更新及新购置新能源公交车750辆以上。积极提升城乡公交综合效益，统筹协调公交与物流、旅游、商贸等资源融合发展，推动城乡公交场站向综合运输服务站转型，推广“一点多能、一网多用、深度融合”的城乡交通运输一体化发展新模式。</w:t>
      </w:r>
    </w:p>
    <w:p>
      <w:pPr>
        <w:spacing w:line="560" w:lineRule="exact"/>
        <w:ind w:firstLine="640"/>
        <w:contextualSpacing/>
        <w:rPr>
          <w:rFonts w:ascii="方正楷体_GBK" w:eastAsia="方正楷体_GBK"/>
          <w:szCs w:val="32"/>
        </w:rPr>
      </w:pPr>
      <w:bookmarkStart w:id="12" w:name="_Toc81426671"/>
      <w:r>
        <w:rPr>
          <w:rFonts w:hint="eastAsia" w:ascii="方正楷体_GBK" w:eastAsia="方正楷体_GBK"/>
          <w:szCs w:val="32"/>
        </w:rPr>
        <w:t>（三）打造经济高效的现代物流服务体系</w:t>
      </w:r>
      <w:bookmarkEnd w:id="12"/>
    </w:p>
    <w:p>
      <w:pPr>
        <w:spacing w:line="560" w:lineRule="exact"/>
        <w:ind w:firstLine="640"/>
        <w:contextualSpacing/>
        <w:rPr>
          <w:rFonts w:ascii="方正仿宋_GBK"/>
          <w:szCs w:val="32"/>
        </w:rPr>
      </w:pPr>
      <w:r>
        <w:rPr>
          <w:rFonts w:hint="eastAsia" w:ascii="方正仿宋_GBK"/>
          <w:szCs w:val="32"/>
        </w:rPr>
        <w:t>1．提升水运服务能力</w:t>
      </w:r>
    </w:p>
    <w:p>
      <w:pPr>
        <w:spacing w:line="560" w:lineRule="exact"/>
        <w:ind w:firstLine="640"/>
        <w:contextualSpacing/>
        <w:rPr>
          <w:rFonts w:ascii="方正仿宋_GBK"/>
          <w:szCs w:val="32"/>
        </w:rPr>
      </w:pPr>
      <w:r>
        <w:rPr>
          <w:rFonts w:hint="eastAsia" w:ascii="方正仿宋_GBK"/>
          <w:szCs w:val="32"/>
        </w:rPr>
        <w:t>完成莲花荡6级航道改线约500米，建设锡溧漕河文庄水上服务区。巩固壮大宜兴港至江阴港、上海港的航线，增加航运班次，开辟支航线；借助上海港形成“海河联动”，推动“江海河”联运发展。依托芜申运河、锡溧漕河完善作业区布局及功能，为物流企业提供优质服务。</w:t>
      </w:r>
    </w:p>
    <w:p>
      <w:pPr>
        <w:spacing w:line="560" w:lineRule="exact"/>
        <w:ind w:firstLine="640"/>
        <w:contextualSpacing/>
        <w:rPr>
          <w:rFonts w:ascii="方正仿宋_GBK"/>
          <w:szCs w:val="32"/>
        </w:rPr>
      </w:pPr>
      <w:r>
        <w:rPr>
          <w:rFonts w:hint="eastAsia" w:ascii="方正仿宋_GBK"/>
          <w:szCs w:val="32"/>
        </w:rPr>
        <w:t>2．积极发展铁路物流</w:t>
      </w:r>
    </w:p>
    <w:p>
      <w:pPr>
        <w:adjustRightInd w:val="0"/>
        <w:spacing w:line="560" w:lineRule="exact"/>
        <w:ind w:firstLine="640"/>
        <w:contextualSpacing/>
        <w:rPr>
          <w:rFonts w:ascii="方正仿宋_GBK"/>
          <w:szCs w:val="32"/>
        </w:rPr>
      </w:pPr>
      <w:r>
        <w:rPr>
          <w:rFonts w:hint="eastAsia" w:ascii="方正仿宋_GBK"/>
          <w:szCs w:val="32"/>
        </w:rPr>
        <w:t>开展铁水联运研究，努力发展为“一单制”全程到底的多式联运承运人。促进铁路物流与邮政、快递业的融合发展，加强与顺丰、京东等社会物流企业的合作，形成宜兴高铁快运产品品牌效应。</w:t>
      </w:r>
    </w:p>
    <w:p>
      <w:pPr>
        <w:adjustRightInd w:val="0"/>
        <w:spacing w:line="560" w:lineRule="exact"/>
        <w:ind w:firstLine="640"/>
        <w:contextualSpacing/>
        <w:rPr>
          <w:rFonts w:ascii="方正仿宋_GBK"/>
          <w:szCs w:val="32"/>
        </w:rPr>
      </w:pPr>
      <w:r>
        <w:rPr>
          <w:rFonts w:hint="eastAsia" w:ascii="方正仿宋_GBK"/>
          <w:szCs w:val="32"/>
        </w:rPr>
        <w:t>3．加快建设现代物流体系</w:t>
      </w:r>
    </w:p>
    <w:p>
      <w:pPr>
        <w:adjustRightInd w:val="0"/>
        <w:spacing w:line="560" w:lineRule="exact"/>
        <w:ind w:firstLine="640"/>
        <w:contextualSpacing/>
        <w:rPr>
          <w:rFonts w:ascii="方正仿宋_GBK"/>
          <w:szCs w:val="32"/>
        </w:rPr>
      </w:pPr>
      <w:r>
        <w:rPr>
          <w:rFonts w:hint="eastAsia" w:ascii="方正仿宋_GBK"/>
          <w:szCs w:val="32"/>
        </w:rPr>
        <w:t>加快推进市级物流集聚区建设，加快完成全市农资配送中心建设，形成现代化的农业综合服务中心。依托新长铁路北站，建设公铁水枢纽物流园，大力发展相关产业。构建绿色物流配送体系。推动城市绿色货运配送示范工程建设，统筹规划建设以综合物流中心、公共配送中心、末端配送网点为支撑的三级配送网络。大力发展保税物流、电商物流、冷链物流、危险品物流等专业化物流发展，引导交通运输、商贸、邮政、供销等物流资源整合，培育现代物流服务主体，壮大供应链服务，加强智慧物流营运模式创新，提高物流标准化、信息化、专业化和社会化水平，促进物流降本增效。大力发展农村物流，进一步完善农村三级物流网络节点，巩固宜兴省级农村物流示范县创建成果。标准化建设村级物流节点。加强与农委、供销、邮政等部门或企业的合作，积极探索实施村级农村物流节点的标准化建设，统一标识、统一功能、统一设施和统一服务，实现规范化发展。</w:t>
      </w:r>
    </w:p>
    <w:p>
      <w:pPr>
        <w:adjustRightInd w:val="0"/>
        <w:spacing w:line="560" w:lineRule="exact"/>
        <w:ind w:firstLine="640"/>
        <w:contextualSpacing/>
        <w:rPr>
          <w:rFonts w:ascii="方正黑体_GBK" w:eastAsia="方正黑体_GBK"/>
          <w:szCs w:val="32"/>
        </w:rPr>
      </w:pPr>
      <w:bookmarkStart w:id="13" w:name="_Toc81426672"/>
      <w:r>
        <w:rPr>
          <w:rFonts w:hint="eastAsia" w:ascii="方正黑体_GBK" w:eastAsia="方正黑体_GBK"/>
          <w:szCs w:val="32"/>
        </w:rPr>
        <w:t>（四）构建智慧先进的持续发展创新体系</w:t>
      </w:r>
      <w:bookmarkEnd w:id="13"/>
    </w:p>
    <w:p>
      <w:pPr>
        <w:adjustRightInd w:val="0"/>
        <w:spacing w:line="560" w:lineRule="exact"/>
        <w:ind w:firstLine="640"/>
        <w:contextualSpacing/>
        <w:rPr>
          <w:rFonts w:ascii="方正仿宋_GBK"/>
          <w:bCs/>
          <w:color w:val="000000" w:themeColor="text1"/>
          <w:szCs w:val="32"/>
          <w14:textFill>
            <w14:solidFill>
              <w14:schemeClr w14:val="tx1"/>
            </w14:solidFill>
          </w14:textFill>
        </w:rPr>
      </w:pPr>
      <w:r>
        <w:rPr>
          <w:rFonts w:hint="eastAsia" w:ascii="方正仿宋_GBK"/>
          <w:bCs/>
          <w:color w:val="000000" w:themeColor="text1"/>
          <w:szCs w:val="32"/>
          <w14:textFill>
            <w14:solidFill>
              <w14:schemeClr w14:val="tx1"/>
            </w14:solidFill>
          </w14:textFill>
        </w:rPr>
        <w:t>1．加快推进智慧公路、航道建设</w:t>
      </w:r>
    </w:p>
    <w:p>
      <w:pPr>
        <w:adjustRightInd w:val="0"/>
        <w:spacing w:line="560" w:lineRule="exact"/>
        <w:ind w:firstLine="640"/>
        <w:contextualSpacing/>
      </w:pPr>
      <w:r>
        <w:rPr>
          <w:rFonts w:hint="eastAsia" w:ascii="方正仿宋_GBK"/>
          <w:szCs w:val="32"/>
        </w:rPr>
        <w:t>试点建设智慧公路、航道，逐步推动由试点项目拓展至新建、改扩建干线公路、航道。</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20" w:lineRule="exact"/>
              <w:ind w:firstLine="0" w:firstLineChars="0"/>
              <w:rPr>
                <w:rFonts w:ascii="方正黑体_GBK" w:hAnsi="仿宋" w:eastAsia="方正黑体_GBK"/>
                <w:kern w:val="0"/>
                <w:sz w:val="24"/>
              </w:rPr>
            </w:pPr>
            <w:r>
              <w:rPr>
                <w:rFonts w:hint="eastAsia" w:ascii="方正黑体_GBK" w:hAnsi="仿宋" w:eastAsia="方正黑体_GBK"/>
                <w:kern w:val="0"/>
                <w:sz w:val="28"/>
              </w:rPr>
              <w:t>专栏：智慧交通技术指南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96" w:type="dxa"/>
          </w:tcPr>
          <w:p>
            <w:pPr>
              <w:ind w:firstLine="560"/>
              <w:jc w:val="left"/>
              <w:rPr>
                <w:rFonts w:ascii="方正仿宋_GBK" w:hAnsi="仿宋"/>
                <w:bCs/>
                <w:color w:val="000000" w:themeColor="text1"/>
                <w:kern w:val="0"/>
                <w:sz w:val="28"/>
                <w:szCs w:val="28"/>
                <w:shd w:val="clear" w:color="auto" w:fill="FFFFFF"/>
                <w14:textFill>
                  <w14:solidFill>
                    <w14:schemeClr w14:val="tx1"/>
                  </w14:solidFill>
                </w14:textFill>
              </w:rPr>
            </w:pPr>
            <w:r>
              <w:rPr>
                <w:rFonts w:hint="eastAsia" w:ascii="方正仿宋_GBK" w:hAnsi="仿宋"/>
                <w:bCs/>
                <w:color w:val="000000" w:themeColor="text1"/>
                <w:kern w:val="0"/>
                <w:sz w:val="28"/>
                <w:szCs w:val="28"/>
                <w:shd w:val="clear" w:color="auto" w:fill="FFFFFF"/>
                <w14:textFill>
                  <w14:solidFill>
                    <w14:schemeClr w14:val="tx1"/>
                  </w14:solidFill>
                </w14:textFill>
              </w:rPr>
              <w:t>1.交通运输部关于推动交通运输领域新型基础设施建设的指导意见</w:t>
            </w:r>
          </w:p>
          <w:p>
            <w:pPr>
              <w:ind w:firstLine="560"/>
              <w:rPr>
                <w:rFonts w:ascii="方正仿宋_GBK" w:hAnsi="仿宋"/>
                <w:kern w:val="0"/>
                <w:sz w:val="28"/>
                <w:shd w:val="clear" w:color="auto" w:fill="FFFFFF"/>
              </w:rPr>
            </w:pPr>
            <w:r>
              <w:rPr>
                <w:rFonts w:hint="eastAsia" w:ascii="方正仿宋_GBK" w:hAnsi="仿宋"/>
                <w:kern w:val="0"/>
                <w:sz w:val="28"/>
                <w:shd w:val="clear" w:color="auto" w:fill="FFFFFF"/>
              </w:rPr>
              <w:t>推动先进信息技术应用，逐步提升公路基础设施规划、设计、建造、养护、运行管理等全要素、全周期数字化水平。深化高速公路电子不停车收费系统（ETC）门架应用，推进车路协同等设施建设，丰富车路协同应用场景。推动公路感知网络与基础设施同步规划、同步建设，在重点路段实现全天候、多要素的状态感知。应用智能视频分析等技术，建设监测、调度、管控、应急、服务一体的智慧路网云控平台。依托重要运输通道，推进智慧公路示范区建设。鼓励应用公路智能养护设施设备，提升在役交通基础设施检查、检测、监测、评估、风险预警以及养护决策、作业的快速化、自动化、智能化水平，提升重点基础设施自然灾害风险防控能力。建设智慧服务区，促进融智能停车、能源补给、救援维护于一体的现代综合服务设施建设。推动农村公路建设、管理、养护、运行一体的综合性管理服务平台建设。</w:t>
            </w:r>
          </w:p>
          <w:p>
            <w:pPr>
              <w:spacing w:line="520" w:lineRule="exact"/>
              <w:ind w:firstLine="560"/>
              <w:rPr>
                <w:rFonts w:ascii="方正仿宋_GBK" w:hAnsi="仿宋"/>
                <w:kern w:val="0"/>
                <w:sz w:val="28"/>
              </w:rPr>
            </w:pPr>
            <w:r>
              <w:rPr>
                <w:rFonts w:hint="eastAsia" w:ascii="方正仿宋_GBK" w:hAnsi="仿宋"/>
                <w:kern w:val="0"/>
                <w:sz w:val="28"/>
              </w:rPr>
              <w:t>2. 江苏省普通国省道智慧公路建设技术指南</w:t>
            </w:r>
          </w:p>
          <w:p>
            <w:pPr>
              <w:ind w:firstLine="560"/>
              <w:rPr>
                <w:rFonts w:ascii="方正仿宋_GBK" w:hAnsi="仿宋"/>
                <w:kern w:val="0"/>
                <w:sz w:val="28"/>
                <w:shd w:val="clear" w:color="auto" w:fill="FFFFFF"/>
              </w:rPr>
            </w:pPr>
            <w:r>
              <w:rPr>
                <w:rFonts w:hint="eastAsia" w:ascii="方正仿宋_GBK" w:hAnsi="仿宋"/>
                <w:kern w:val="0"/>
                <w:sz w:val="28"/>
                <w:shd w:val="clear" w:color="auto" w:fill="FFFFFF"/>
              </w:rPr>
              <w:t>（1）建设目标</w:t>
            </w:r>
          </w:p>
          <w:p>
            <w:pPr>
              <w:ind w:firstLine="560"/>
              <w:rPr>
                <w:rFonts w:ascii="方正仿宋_GBK" w:hAnsi="仿宋"/>
                <w:kern w:val="0"/>
                <w:sz w:val="28"/>
                <w:shd w:val="clear" w:color="auto" w:fill="FFFFFF"/>
              </w:rPr>
            </w:pPr>
            <w:r>
              <w:rPr>
                <w:rFonts w:hint="eastAsia" w:ascii="方正仿宋_GBK" w:hAnsi="仿宋" w:cs="宋体"/>
                <w:kern w:val="0"/>
                <w:sz w:val="28"/>
                <w:shd w:val="clear" w:color="auto" w:fill="FFFFFF"/>
              </w:rPr>
              <w:t>①</w:t>
            </w:r>
            <w:r>
              <w:rPr>
                <w:rFonts w:hint="eastAsia" w:ascii="方正仿宋_GBK" w:hAnsi="仿宋"/>
                <w:kern w:val="0"/>
                <w:sz w:val="28"/>
                <w:shd w:val="clear" w:color="auto" w:fill="FFFFFF"/>
              </w:rPr>
              <w:t>近期目标</w:t>
            </w:r>
          </w:p>
          <w:p>
            <w:pPr>
              <w:ind w:firstLine="560"/>
              <w:rPr>
                <w:rFonts w:ascii="方正仿宋_GBK" w:hAnsi="仿宋"/>
                <w:kern w:val="0"/>
                <w:sz w:val="28"/>
                <w:shd w:val="clear" w:color="auto" w:fill="FFFFFF"/>
              </w:rPr>
            </w:pPr>
            <w:r>
              <w:rPr>
                <w:rFonts w:hint="eastAsia" w:ascii="方正仿宋_GBK" w:hAnsi="仿宋"/>
                <w:kern w:val="0"/>
                <w:sz w:val="28"/>
                <w:shd w:val="clear" w:color="auto" w:fill="FFFFFF"/>
              </w:rPr>
              <w:t>在交通流量大（新建项目指“预测交通流量大”）的主干通道以及对区域经济发展起到关键支撑作用的核心路网，开展智慧公路试点示范，通过全要素感知、全方位服务、全过程管控、全数字运营、车路协同等，实现安全提升、效率提升和服务提升，恶劣天气、复杂环境下的道路交通事故率下降20%以上，关键节点及路段的通行效率提升20%以上，实现公路建设、管理、养护、运营全生命周期的数字化与智能化。</w:t>
            </w:r>
          </w:p>
          <w:p>
            <w:pPr>
              <w:ind w:firstLine="560"/>
              <w:rPr>
                <w:rFonts w:ascii="方正仿宋_GBK" w:hAnsi="仿宋"/>
                <w:kern w:val="0"/>
                <w:sz w:val="28"/>
                <w:shd w:val="clear" w:color="auto" w:fill="FFFFFF"/>
              </w:rPr>
            </w:pPr>
            <w:r>
              <w:rPr>
                <w:rFonts w:hint="eastAsia" w:ascii="方正仿宋_GBK" w:hAnsi="仿宋" w:cs="宋体"/>
                <w:kern w:val="0"/>
                <w:sz w:val="28"/>
                <w:shd w:val="clear" w:color="auto" w:fill="FFFFFF"/>
              </w:rPr>
              <w:t>②</w:t>
            </w:r>
            <w:r>
              <w:rPr>
                <w:rFonts w:hint="eastAsia" w:ascii="方正仿宋_GBK" w:hAnsi="仿宋"/>
                <w:kern w:val="0"/>
                <w:sz w:val="28"/>
                <w:shd w:val="clear" w:color="auto" w:fill="FFFFFF"/>
              </w:rPr>
              <w:t>远期目标</w:t>
            </w:r>
          </w:p>
          <w:p>
            <w:pPr>
              <w:ind w:firstLine="560"/>
              <w:rPr>
                <w:rFonts w:ascii="方正仿宋_GBK" w:hAnsi="仿宋"/>
                <w:kern w:val="0"/>
                <w:sz w:val="28"/>
                <w:shd w:val="clear" w:color="auto" w:fill="FFFFFF"/>
              </w:rPr>
            </w:pPr>
            <w:r>
              <w:rPr>
                <w:rFonts w:hint="eastAsia" w:ascii="方正仿宋_GBK" w:hAnsi="仿宋"/>
                <w:kern w:val="0"/>
                <w:sz w:val="28"/>
                <w:shd w:val="clear" w:color="auto" w:fill="FFFFFF"/>
              </w:rPr>
              <w:t>在全路网范围内实现全要素感知、全方位服务、全过程管控、全数字运营等，实现人、车、路智能网联和高效协同，实现全智能化的高速公路业务管理，实现车辆编队及L3级以上自动驾驶，高速公路基础设施服役能力大幅提升，道路交通事故率下降90%以上，道路通行能力接近设计通行能力。</w:t>
            </w:r>
          </w:p>
          <w:p>
            <w:pPr>
              <w:ind w:firstLine="560"/>
              <w:rPr>
                <w:rFonts w:ascii="方正仿宋_GBK" w:hAnsi="仿宋"/>
                <w:kern w:val="0"/>
                <w:sz w:val="28"/>
                <w:shd w:val="clear" w:color="auto" w:fill="FFFFFF"/>
              </w:rPr>
            </w:pPr>
            <w:r>
              <w:rPr>
                <w:rFonts w:hint="eastAsia" w:ascii="方正仿宋_GBK" w:hAnsi="仿宋"/>
                <w:kern w:val="0"/>
                <w:sz w:val="28"/>
                <w:shd w:val="clear" w:color="auto" w:fill="FFFFFF"/>
              </w:rPr>
              <w:t>（2）建设内容</w:t>
            </w:r>
          </w:p>
          <w:p>
            <w:pPr>
              <w:ind w:firstLine="560"/>
              <w:rPr>
                <w:rFonts w:ascii="方正仿宋_GBK" w:hAnsi="仿宋"/>
                <w:kern w:val="0"/>
                <w:sz w:val="28"/>
                <w:shd w:val="clear" w:color="auto" w:fill="FFFFFF"/>
              </w:rPr>
            </w:pPr>
            <w:r>
              <w:rPr>
                <w:rFonts w:hint="eastAsia" w:ascii="方正仿宋_GBK" w:hAnsi="仿宋"/>
                <w:kern w:val="0"/>
                <w:sz w:val="28"/>
                <w:shd w:val="clear" w:color="auto" w:fill="FFFFFF"/>
              </w:rPr>
              <w:t>普通国省道智慧公路建设内容包含智能感知、智能管控、智能服务和基础支撑。</w:t>
            </w:r>
          </w:p>
          <w:p>
            <w:pPr>
              <w:ind w:firstLine="560"/>
              <w:rPr>
                <w:rFonts w:ascii="方正仿宋_GBK" w:hAnsi="仿宋"/>
                <w:kern w:val="0"/>
                <w:sz w:val="28"/>
                <w:shd w:val="clear" w:color="auto" w:fill="FFFFFF"/>
              </w:rPr>
            </w:pPr>
            <w:r>
              <w:rPr>
                <w:rFonts w:hint="eastAsia" w:ascii="方正仿宋_GBK" w:hAnsi="仿宋"/>
                <w:kern w:val="0"/>
                <w:sz w:val="28"/>
                <w:shd w:val="clear" w:color="auto" w:fill="FFFFFF"/>
              </w:rPr>
              <w:t>智能感知包含公路主体及沿线设施感知、交通运行状态感知和公路路域环境感知。</w:t>
            </w:r>
          </w:p>
          <w:p>
            <w:pPr>
              <w:ind w:firstLine="560"/>
              <w:rPr>
                <w:rFonts w:ascii="方正仿宋_GBK" w:hAnsi="仿宋"/>
                <w:kern w:val="0"/>
                <w:sz w:val="28"/>
                <w:shd w:val="clear" w:color="auto" w:fill="FFFFFF"/>
              </w:rPr>
            </w:pPr>
            <w:r>
              <w:rPr>
                <w:rFonts w:hint="eastAsia" w:ascii="方正仿宋_GBK" w:hAnsi="仿宋"/>
                <w:kern w:val="0"/>
                <w:sz w:val="28"/>
                <w:shd w:val="clear" w:color="auto" w:fill="FFFFFF"/>
              </w:rPr>
              <w:t>智能管控包含数字化设计、智能化建造、科学化养护和全路网管理。</w:t>
            </w:r>
          </w:p>
          <w:p>
            <w:pPr>
              <w:ind w:firstLine="560"/>
              <w:rPr>
                <w:rFonts w:ascii="方正仿宋_GBK" w:hAnsi="仿宋"/>
                <w:kern w:val="0"/>
                <w:sz w:val="28"/>
                <w:shd w:val="clear" w:color="auto" w:fill="FFFFFF"/>
              </w:rPr>
            </w:pPr>
            <w:r>
              <w:rPr>
                <w:rFonts w:hint="eastAsia" w:ascii="方正仿宋_GBK" w:hAnsi="仿宋"/>
                <w:kern w:val="0"/>
                <w:sz w:val="28"/>
                <w:shd w:val="clear" w:color="auto" w:fill="FFFFFF"/>
              </w:rPr>
              <w:t>智能服务包含出行安全服务、通行效率服务、智慧服务区、在途信息服务和车路协同自动驾驶。出行安全服务包含雾天行车诱导、智能消冰除雪、车辆汇流预警，通行效率服务包含交叉口信号优化、自由流收费。基础支撑包含融合通信、设施供电、数据中台、云控平台、信息安全和智能运维。</w:t>
            </w:r>
          </w:p>
          <w:p>
            <w:pPr>
              <w:ind w:firstLine="560"/>
              <w:rPr>
                <w:rFonts w:ascii="方正仿宋_GBK" w:hAnsi="仿宋"/>
                <w:kern w:val="0"/>
                <w:sz w:val="28"/>
                <w:shd w:val="clear" w:color="auto" w:fill="FFFFFF"/>
              </w:rPr>
            </w:pPr>
            <w:r>
              <w:rPr>
                <w:rFonts w:hint="eastAsia" w:ascii="方正仿宋_GBK" w:hAnsi="仿宋"/>
                <w:kern w:val="0"/>
                <w:sz w:val="28"/>
                <w:shd w:val="clear" w:color="auto" w:fill="FFFFFF"/>
              </w:rPr>
              <w:t>（3）建设框架</w:t>
            </w:r>
          </w:p>
          <w:p>
            <w:pPr>
              <w:ind w:firstLine="560"/>
              <w:rPr>
                <w:rFonts w:ascii="仿宋" w:hAnsi="仿宋" w:eastAsia="仿宋"/>
                <w:kern w:val="0"/>
                <w:sz w:val="28"/>
                <w:shd w:val="clear" w:color="auto" w:fill="FFFFFF"/>
              </w:rPr>
            </w:pPr>
            <w:r>
              <w:rPr>
                <w:rFonts w:hint="eastAsia" w:ascii="方正仿宋_GBK" w:hAnsi="仿宋"/>
                <w:kern w:val="0"/>
                <w:sz w:val="28"/>
                <w:shd w:val="clear" w:color="auto" w:fill="FFFFFF"/>
              </w:rPr>
              <w:t>江苏省智慧高速公路总体架构可分为全要素感知、全方位服务、全业务管理、车路协同与自动驾驶、支撑及保障、新技术应用6部分内容。</w:t>
            </w:r>
          </w:p>
          <w:p>
            <w:pPr>
              <w:spacing w:line="240" w:lineRule="auto"/>
              <w:ind w:firstLine="0" w:firstLineChars="0"/>
              <w:rPr>
                <w:rFonts w:ascii="仿宋" w:hAnsi="仿宋" w:eastAsia="仿宋"/>
                <w:kern w:val="0"/>
                <w:sz w:val="28"/>
                <w:szCs w:val="28"/>
              </w:rPr>
            </w:pPr>
            <w:r>
              <w:rPr>
                <w:rFonts w:ascii="仿宋" w:hAnsi="仿宋" w:eastAsia="仿宋"/>
                <w:b/>
                <w:bCs/>
                <w:color w:val="333333"/>
                <w:kern w:val="0"/>
                <w:sz w:val="36"/>
                <w:szCs w:val="36"/>
                <w:shd w:val="clear" w:color="auto" w:fill="FFFFFF"/>
              </w:rPr>
              <w:drawing>
                <wp:inline distT="0" distB="0" distL="0" distR="0">
                  <wp:extent cx="5137150" cy="3638550"/>
                  <wp:effectExtent l="0" t="0" r="0" b="0"/>
                  <wp:docPr id="6" name="图片 6" descr="C:\Users\fangk\AppData\Local\Temp\16279599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fangk\AppData\Local\Temp\162795991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68354" cy="3661165"/>
                          </a:xfrm>
                          <a:prstGeom prst="rect">
                            <a:avLst/>
                          </a:prstGeom>
                          <a:noFill/>
                          <a:ln>
                            <a:noFill/>
                          </a:ln>
                        </pic:spPr>
                      </pic:pic>
                    </a:graphicData>
                  </a:graphic>
                </wp:inline>
              </w:drawing>
            </w:r>
          </w:p>
        </w:tc>
      </w:tr>
    </w:tbl>
    <w:p>
      <w:pPr>
        <w:spacing w:line="560" w:lineRule="exact"/>
        <w:ind w:firstLine="640"/>
        <w:contextualSpacing/>
        <w:textAlignment w:val="baseline"/>
        <w:outlineLvl w:val="3"/>
        <w:rPr>
          <w:rFonts w:ascii="方正仿宋_GBK" w:hAnsi="仿宋"/>
          <w:bCs/>
          <w:color w:val="000000" w:themeColor="text1"/>
          <w:szCs w:val="32"/>
          <w14:textFill>
            <w14:solidFill>
              <w14:schemeClr w14:val="tx1"/>
            </w14:solidFill>
          </w14:textFill>
        </w:rPr>
      </w:pPr>
      <w:r>
        <w:rPr>
          <w:rFonts w:hint="eastAsia" w:ascii="方正仿宋_GBK" w:hAnsi="仿宋"/>
          <w:bCs/>
          <w:color w:val="000000" w:themeColor="text1"/>
          <w:szCs w:val="32"/>
          <w14:textFill>
            <w14:solidFill>
              <w14:schemeClr w14:val="tx1"/>
            </w14:solidFill>
          </w14:textFill>
        </w:rPr>
        <w:t>2．持续提升交通信息化水平</w:t>
      </w:r>
    </w:p>
    <w:p>
      <w:pPr>
        <w:spacing w:line="560" w:lineRule="exact"/>
        <w:ind w:firstLine="640"/>
        <w:contextualSpacing/>
        <w:rPr>
          <w:rFonts w:ascii="方正仿宋_GBK" w:hAnsi="仿宋"/>
          <w:szCs w:val="32"/>
        </w:rPr>
      </w:pPr>
      <w:r>
        <w:rPr>
          <w:rFonts w:hint="eastAsia" w:ascii="方正仿宋_GBK" w:hAnsi="仿宋"/>
          <w:szCs w:val="32"/>
        </w:rPr>
        <w:t>（1）加强交通基础设施数字化建设</w:t>
      </w:r>
    </w:p>
    <w:p>
      <w:pPr>
        <w:spacing w:line="560" w:lineRule="exact"/>
        <w:ind w:firstLine="640"/>
        <w:contextualSpacing/>
        <w:rPr>
          <w:rFonts w:ascii="方正仿宋_GBK" w:hAnsi="仿宋"/>
          <w:szCs w:val="32"/>
        </w:rPr>
      </w:pPr>
      <w:r>
        <w:rPr>
          <w:rFonts w:hint="eastAsia" w:ascii="方正仿宋_GBK" w:hAnsi="仿宋"/>
          <w:szCs w:val="32"/>
        </w:rPr>
        <w:t>结合宜兴新型智慧城市建设，打造“高速、移动、安全的新一代交通信息基础设施体系”和“广泛汇聚、共享开放、深度应用的交通数据资源利用体系”。完善数字公路应用平台，依托综合执法大队建设交通运输综合信息化系统，加快推进农村公路“一网一平台”建设，提升农村公路综合管养信息化水平。按照省、市要求，推进数据标准化建设，做到“纵向”与上级交通管理平台、“横向”与宜兴市级行业管理平台的数据交换。建立交通运输信息资源共享交换机制，深化共享合作，实现数据信息资源跨部门、跨行业、跨区域间共享与协同应用。</w:t>
      </w:r>
    </w:p>
    <w:p>
      <w:pPr>
        <w:spacing w:line="560" w:lineRule="exact"/>
        <w:ind w:firstLine="640"/>
        <w:contextualSpacing/>
        <w:rPr>
          <w:rFonts w:ascii="方正仿宋_GBK" w:hAnsi="仿宋"/>
          <w:szCs w:val="32"/>
        </w:rPr>
      </w:pPr>
      <w:bookmarkStart w:id="14" w:name="_Toc62064335"/>
      <w:r>
        <w:rPr>
          <w:rFonts w:hint="eastAsia" w:ascii="方正仿宋_GBK" w:hAnsi="仿宋"/>
          <w:szCs w:val="32"/>
        </w:rPr>
        <w:t>（2）提升运输信息服务水平</w:t>
      </w:r>
      <w:bookmarkEnd w:id="14"/>
    </w:p>
    <w:p>
      <w:pPr>
        <w:adjustRightInd w:val="0"/>
        <w:spacing w:line="560" w:lineRule="exact"/>
        <w:ind w:firstLine="640"/>
        <w:contextualSpacing/>
        <w:rPr>
          <w:rFonts w:ascii="方正仿宋_GBK" w:hAnsi="仿宋"/>
          <w:szCs w:val="32"/>
        </w:rPr>
      </w:pPr>
      <w:r>
        <w:rPr>
          <w:rFonts w:hint="eastAsia" w:ascii="方正仿宋_GBK" w:hAnsi="仿宋"/>
          <w:szCs w:val="32"/>
        </w:rPr>
        <w:t>提升智慧出行服务水平。深入推进城乡公交领域信息化建设，完善覆盖城乡公交车辆的公众出行信息服务系统、车辆运营调度管理系统、安全监管系统和应急处置系统，提升城乡公交服务能力和水平。在客流量较大的乡镇站点，试点建设智能公交电子站牌、智能化公交候车亭，积极探索公众号查询、APP等智能终端覆盖镇村公交。城乡公交车辆要全面推广使用手机NFC、二维码等移动支付，方便群众出行。</w:t>
      </w:r>
    </w:p>
    <w:p>
      <w:pPr>
        <w:adjustRightInd w:val="0"/>
        <w:spacing w:line="560" w:lineRule="exact"/>
        <w:ind w:firstLine="640"/>
        <w:contextualSpacing/>
        <w:rPr>
          <w:rFonts w:ascii="方正仿宋_GBK" w:hAnsi="仿宋"/>
          <w:szCs w:val="32"/>
        </w:rPr>
      </w:pPr>
      <w:bookmarkStart w:id="15" w:name="_Toc62064336"/>
      <w:r>
        <w:rPr>
          <w:rFonts w:hint="eastAsia" w:ascii="方正仿宋_GBK" w:hAnsi="仿宋"/>
          <w:szCs w:val="32"/>
        </w:rPr>
        <w:t>（3）加快行业管理智慧化建设</w:t>
      </w:r>
      <w:bookmarkEnd w:id="15"/>
    </w:p>
    <w:p>
      <w:pPr>
        <w:adjustRightInd w:val="0"/>
        <w:spacing w:line="560" w:lineRule="exact"/>
        <w:ind w:firstLine="640"/>
        <w:contextualSpacing/>
        <w:rPr>
          <w:rFonts w:ascii="方正仿宋_GBK" w:hAnsi="仿宋"/>
          <w:szCs w:val="32"/>
        </w:rPr>
      </w:pPr>
      <w:r>
        <w:rPr>
          <w:rFonts w:hint="eastAsia" w:ascii="方正仿宋_GBK" w:hAnsi="仿宋"/>
          <w:szCs w:val="32"/>
        </w:rPr>
        <w:t>继续推动大数据、人工智能、云计算技术与行业治理结合，利用大数据技术实现从业人员信用监管、重点客货运车辆及危险品运输监测等，通过用数据说话、用数据决策、用数据管理、用数据服务，实现行业管理由事前许可转向事中、事后监管，提高行业监测监管能力。</w:t>
      </w:r>
    </w:p>
    <w:p>
      <w:pPr>
        <w:adjustRightInd w:val="0"/>
        <w:spacing w:line="560" w:lineRule="exact"/>
        <w:ind w:firstLine="640"/>
        <w:contextualSpacing/>
        <w:textAlignment w:val="baseline"/>
        <w:outlineLvl w:val="3"/>
        <w:rPr>
          <w:rFonts w:ascii="方正仿宋_GBK" w:hAnsi="仿宋"/>
          <w:bCs/>
          <w:color w:val="000000" w:themeColor="text1"/>
          <w:szCs w:val="32"/>
          <w14:textFill>
            <w14:solidFill>
              <w14:schemeClr w14:val="tx1"/>
            </w14:solidFill>
          </w14:textFill>
        </w:rPr>
      </w:pPr>
      <w:r>
        <w:rPr>
          <w:rFonts w:hint="eastAsia" w:ascii="方正仿宋_GBK" w:hAnsi="仿宋"/>
          <w:bCs/>
          <w:color w:val="000000" w:themeColor="text1"/>
          <w:szCs w:val="32"/>
          <w14:textFill>
            <w14:solidFill>
              <w14:schemeClr w14:val="tx1"/>
            </w14:solidFill>
          </w14:textFill>
        </w:rPr>
        <w:t>3．全面推进绿色交通建设</w:t>
      </w:r>
    </w:p>
    <w:p>
      <w:pPr>
        <w:adjustRightInd w:val="0"/>
        <w:spacing w:line="560" w:lineRule="exact"/>
        <w:ind w:firstLine="640"/>
        <w:contextualSpacing/>
        <w:rPr>
          <w:rFonts w:ascii="方正仿宋_GBK" w:hAnsi="仿宋"/>
          <w:szCs w:val="32"/>
        </w:rPr>
      </w:pPr>
      <w:bookmarkStart w:id="16" w:name="_Toc62064338"/>
      <w:r>
        <w:rPr>
          <w:rFonts w:hint="eastAsia" w:ascii="方正仿宋_GBK" w:hAnsi="仿宋"/>
          <w:szCs w:val="32"/>
        </w:rPr>
        <w:t>（1）落实绿色低碳发展理念</w:t>
      </w:r>
      <w:bookmarkEnd w:id="16"/>
    </w:p>
    <w:p>
      <w:pPr>
        <w:adjustRightInd w:val="0"/>
        <w:spacing w:line="560" w:lineRule="exact"/>
        <w:ind w:firstLine="640"/>
        <w:contextualSpacing/>
        <w:rPr>
          <w:rFonts w:ascii="方正仿宋_GBK" w:hAnsi="仿宋"/>
          <w:szCs w:val="32"/>
        </w:rPr>
      </w:pPr>
      <w:r>
        <w:rPr>
          <w:rFonts w:hint="eastAsia" w:ascii="方正仿宋_GBK" w:hAnsi="仿宋"/>
          <w:szCs w:val="32"/>
        </w:rPr>
        <w:t>强化与“三区三线”衔接，鼓励高速公路、普通公路共走廊建设。将绿色发展理念贯穿于交通基础设施工可、设计、建设、运营和养护全过程，注重土地节约、材料节约及再生循环利用、生态环境保护等理念。优先采用低碳、环保、节能的新材料、新技术，积极探索清洁可再生能源应用。</w:t>
      </w:r>
    </w:p>
    <w:p>
      <w:pPr>
        <w:adjustRightInd w:val="0"/>
        <w:spacing w:line="560" w:lineRule="exact"/>
        <w:ind w:firstLine="640"/>
        <w:contextualSpacing/>
        <w:rPr>
          <w:rFonts w:ascii="方正仿宋_GBK" w:hAnsi="仿宋"/>
          <w:szCs w:val="32"/>
        </w:rPr>
      </w:pPr>
      <w:bookmarkStart w:id="17" w:name="_Toc62064339"/>
      <w:r>
        <w:rPr>
          <w:rFonts w:hint="eastAsia" w:ascii="方正仿宋_GBK" w:hAnsi="仿宋"/>
          <w:szCs w:val="32"/>
        </w:rPr>
        <w:t>（2）促进交通运输行业节能减排</w:t>
      </w:r>
      <w:bookmarkEnd w:id="17"/>
    </w:p>
    <w:p>
      <w:pPr>
        <w:adjustRightInd w:val="0"/>
        <w:spacing w:line="560" w:lineRule="exact"/>
        <w:ind w:firstLine="640"/>
        <w:contextualSpacing/>
        <w:rPr>
          <w:rFonts w:ascii="方正仿宋_GBK" w:hAnsi="仿宋"/>
          <w:szCs w:val="32"/>
        </w:rPr>
      </w:pPr>
      <w:r>
        <w:rPr>
          <w:rFonts w:hint="eastAsia" w:ascii="方正仿宋_GBK" w:hAnsi="仿宋"/>
          <w:szCs w:val="32"/>
        </w:rPr>
        <w:t>充分发挥各种运输方式的比较优势和组合效率，优先发展公共交通，积极推进多式联运。全面推广清洁高效运输装备，继续推广清洁能源汽车在城市公交、出租汽车、城市配送等领域应用。加快淘汰国三及以下排放标准的营运柴油货车，推广符合国家标准的中置轴汽车列车、厢式半挂车、新能源或清洁能源货车。</w:t>
      </w:r>
    </w:p>
    <w:p>
      <w:pPr>
        <w:spacing w:line="560" w:lineRule="exact"/>
        <w:ind w:firstLine="640"/>
        <w:contextualSpacing/>
        <w:rPr>
          <w:rFonts w:ascii="方正仿宋_GBK" w:hAnsi="仿宋"/>
          <w:szCs w:val="32"/>
        </w:rPr>
      </w:pPr>
      <w:r>
        <w:rPr>
          <w:rFonts w:hint="eastAsia" w:ascii="方正仿宋_GBK" w:hAnsi="仿宋"/>
          <w:szCs w:val="32"/>
        </w:rPr>
        <w:t>（3）加快推进美丽农村路建设</w:t>
      </w:r>
    </w:p>
    <w:p>
      <w:pPr>
        <w:spacing w:line="560" w:lineRule="exact"/>
        <w:ind w:firstLine="640"/>
        <w:contextualSpacing/>
        <w:rPr>
          <w:rFonts w:ascii="方正仿宋_GBK" w:hAnsi="仿宋"/>
          <w:szCs w:val="32"/>
        </w:rPr>
      </w:pPr>
      <w:r>
        <w:rPr>
          <w:rFonts w:hint="eastAsia" w:ascii="方正仿宋_GBK" w:hAnsi="仿宋"/>
          <w:color w:val="000000" w:themeColor="text1"/>
          <w:szCs w:val="32"/>
          <w14:textFill>
            <w14:solidFill>
              <w14:schemeClr w14:val="tx1"/>
            </w14:solidFill>
          </w14:textFill>
        </w:rPr>
        <w:t>结合美丽宜兴建设，全面提升农路安全水平，贯彻保护生态环境理念，引领人居环境改善，弘扬历史传统文化，</w:t>
      </w:r>
      <w:r>
        <w:rPr>
          <w:rFonts w:hint="eastAsia" w:ascii="方正仿宋_GBK" w:hAnsi="仿宋"/>
          <w:szCs w:val="32"/>
        </w:rPr>
        <w:t>全面开展全域美丽公路建设，更高层次更高质量将公路网打造成为助推经济社会发展的旅游观光线、生态富民线、绿色风景线，成为美丽宜兴的亮丽经纬线。</w:t>
      </w:r>
      <w:r>
        <w:rPr>
          <w:rFonts w:hint="eastAsia" w:ascii="方正仿宋_GBK" w:hAnsi="仿宋"/>
          <w:color w:val="000000" w:themeColor="text1"/>
          <w:szCs w:val="32"/>
          <w14:textFill>
            <w14:solidFill>
              <w14:schemeClr w14:val="tx1"/>
            </w14:solidFill>
          </w14:textFill>
        </w:rPr>
        <w:t>至2022年，</w:t>
      </w:r>
      <w:r>
        <w:rPr>
          <w:rFonts w:hint="eastAsia" w:ascii="方正仿宋_GBK" w:hAnsi="仿宋"/>
          <w:szCs w:val="32"/>
        </w:rPr>
        <w:t>实现每个乡镇都有美丽农村路。</w:t>
      </w:r>
    </w:p>
    <w:p>
      <w:pPr>
        <w:spacing w:line="560" w:lineRule="exact"/>
        <w:ind w:firstLine="640"/>
        <w:rPr>
          <w:rFonts w:ascii="方正仿宋_GBK"/>
        </w:rPr>
      </w:pPr>
      <w:bookmarkStart w:id="18" w:name="_Toc81426673"/>
      <w:r>
        <w:rPr>
          <w:rFonts w:hint="eastAsia" w:ascii="方正仿宋_GBK"/>
        </w:rPr>
        <w:t>（五）建立现代科学的交通运输治理体系</w:t>
      </w:r>
      <w:bookmarkEnd w:id="18"/>
    </w:p>
    <w:p>
      <w:pPr>
        <w:spacing w:line="560" w:lineRule="exact"/>
        <w:ind w:firstLine="640"/>
        <w:contextualSpacing/>
        <w:textAlignment w:val="baseline"/>
        <w:outlineLvl w:val="3"/>
        <w:rPr>
          <w:rFonts w:ascii="方正仿宋_GBK" w:hAnsi="仿宋"/>
          <w:bCs/>
          <w:color w:val="000000" w:themeColor="text1"/>
          <w:szCs w:val="32"/>
          <w14:textFill>
            <w14:solidFill>
              <w14:schemeClr w14:val="tx1"/>
            </w14:solidFill>
          </w14:textFill>
        </w:rPr>
      </w:pPr>
      <w:r>
        <w:rPr>
          <w:rFonts w:hint="eastAsia" w:ascii="方正仿宋_GBK" w:hAnsi="仿宋"/>
          <w:bCs/>
          <w:color w:val="000000" w:themeColor="text1"/>
          <w:szCs w:val="32"/>
          <w14:textFill>
            <w14:solidFill>
              <w14:schemeClr w14:val="tx1"/>
            </w14:solidFill>
          </w14:textFill>
        </w:rPr>
        <w:t>1．继续深化重点领域改革</w:t>
      </w:r>
    </w:p>
    <w:p>
      <w:pPr>
        <w:spacing w:line="560" w:lineRule="exact"/>
        <w:ind w:firstLine="640"/>
        <w:contextualSpacing/>
        <w:rPr>
          <w:rFonts w:ascii="方正仿宋_GBK" w:hAnsi="仿宋"/>
          <w:szCs w:val="32"/>
        </w:rPr>
      </w:pPr>
      <w:r>
        <w:rPr>
          <w:rFonts w:hint="eastAsia" w:ascii="方正仿宋_GBK" w:hAnsi="仿宋"/>
          <w:szCs w:val="32"/>
        </w:rPr>
        <w:t>（1）建立农村公路管养长效机制</w:t>
      </w:r>
    </w:p>
    <w:p>
      <w:pPr>
        <w:spacing w:line="560" w:lineRule="exact"/>
        <w:ind w:firstLine="640"/>
        <w:contextualSpacing/>
        <w:rPr>
          <w:rFonts w:ascii="方正仿宋_GBK" w:hAnsi="仿宋"/>
          <w:szCs w:val="32"/>
        </w:rPr>
      </w:pPr>
      <w:r>
        <w:rPr>
          <w:rFonts w:hint="eastAsia" w:ascii="方正仿宋_GBK" w:hAnsi="仿宋"/>
          <w:szCs w:val="32"/>
        </w:rPr>
        <w:t>加快推进农村公路管养机制改革，不断加大农村公路管理养护力度，加大养护工程投入，保障农村公路日常养护、大中修及时到位。深入推进“路长制”，建立权责清晰、齐抓共管的农村公路养护管理体制机制，明确各级路长对应职责，切实提高农村公路管养和路产路权保护能力，提升路域环境治理水平。切实推进农村公路养护生产模式改革，争创全国示范。</w:t>
      </w:r>
    </w:p>
    <w:p>
      <w:pPr>
        <w:spacing w:line="560" w:lineRule="exact"/>
        <w:ind w:firstLine="640"/>
        <w:contextualSpacing/>
        <w:rPr>
          <w:rFonts w:ascii="方正仿宋_GBK" w:hAnsi="仿宋"/>
          <w:szCs w:val="32"/>
        </w:rPr>
      </w:pPr>
      <w:r>
        <w:rPr>
          <w:rFonts w:hint="eastAsia" w:ascii="方正仿宋_GBK" w:hAnsi="仿宋"/>
          <w:szCs w:val="32"/>
        </w:rPr>
        <w:t>（2）深化交通运输投融资体制改革</w:t>
      </w:r>
    </w:p>
    <w:p>
      <w:pPr>
        <w:spacing w:line="560" w:lineRule="exact"/>
        <w:ind w:firstLine="640"/>
        <w:contextualSpacing/>
        <w:rPr>
          <w:rFonts w:ascii="方正仿宋_GBK" w:hAnsi="仿宋"/>
          <w:szCs w:val="32"/>
        </w:rPr>
      </w:pPr>
      <w:r>
        <w:rPr>
          <w:rFonts w:hint="eastAsia" w:ascii="方正仿宋_GBK" w:hAnsi="仿宋"/>
          <w:szCs w:val="32"/>
        </w:rPr>
        <w:t>强化各级财政资金保障，深化市、镇财政事权和支出责任划分改革，切实做好债务风险防控。发挥国有投资主体在交通运输投资、建设、运营领域主力军作用。完善预算管理体系，全面实施预算绩效管理。</w:t>
      </w:r>
    </w:p>
    <w:p>
      <w:pPr>
        <w:adjustRightInd w:val="0"/>
        <w:spacing w:line="560" w:lineRule="exact"/>
        <w:ind w:firstLine="640"/>
        <w:contextualSpacing/>
        <w:textAlignment w:val="baseline"/>
        <w:outlineLvl w:val="3"/>
        <w:rPr>
          <w:rFonts w:ascii="方正仿宋_GBK" w:hAnsi="仿宋"/>
          <w:bCs/>
          <w:color w:val="000000" w:themeColor="text1"/>
          <w:szCs w:val="32"/>
          <w14:textFill>
            <w14:solidFill>
              <w14:schemeClr w14:val="tx1"/>
            </w14:solidFill>
          </w14:textFill>
        </w:rPr>
      </w:pPr>
      <w:r>
        <w:rPr>
          <w:rFonts w:hint="eastAsia" w:ascii="方正仿宋_GBK" w:hAnsi="仿宋"/>
          <w:bCs/>
          <w:color w:val="000000" w:themeColor="text1"/>
          <w:szCs w:val="32"/>
          <w14:textFill>
            <w14:solidFill>
              <w14:schemeClr w14:val="tx1"/>
            </w14:solidFill>
          </w14:textFill>
        </w:rPr>
        <w:t>2．不断提高安全生产水平</w:t>
      </w:r>
    </w:p>
    <w:p>
      <w:pPr>
        <w:adjustRightInd w:val="0"/>
        <w:spacing w:line="560" w:lineRule="exact"/>
        <w:ind w:firstLine="640"/>
        <w:contextualSpacing/>
        <w:rPr>
          <w:rFonts w:ascii="方正仿宋_GBK" w:hAnsi="仿宋"/>
          <w:szCs w:val="32"/>
        </w:rPr>
      </w:pPr>
      <w:r>
        <w:rPr>
          <w:rFonts w:hint="eastAsia" w:ascii="方正仿宋_GBK" w:hAnsi="仿宋"/>
          <w:szCs w:val="32"/>
        </w:rPr>
        <w:t>（1）加快完善交通安全基础设施</w:t>
      </w:r>
    </w:p>
    <w:p>
      <w:pPr>
        <w:adjustRightInd w:val="0"/>
        <w:spacing w:line="560" w:lineRule="exact"/>
        <w:ind w:firstLine="640"/>
        <w:contextualSpacing/>
        <w:rPr>
          <w:rFonts w:ascii="方正仿宋_GBK" w:hAnsi="仿宋"/>
          <w:szCs w:val="32"/>
        </w:rPr>
      </w:pPr>
      <w:r>
        <w:rPr>
          <w:rFonts w:hint="eastAsia" w:ascii="方正仿宋_GBK" w:hAnsi="仿宋"/>
          <w:szCs w:val="32"/>
        </w:rPr>
        <w:t>根据2020年的普通公路安全生命防护工程排查结果，实施安全提升路段里程417km，重点实施临水等危险路段安全防护整治、一级公路中分带无护栏或高路缘石段的处置、集镇段机非隔离及交叉口综合整治等。</w:t>
      </w:r>
    </w:p>
    <w:p>
      <w:pPr>
        <w:adjustRightInd w:val="0"/>
        <w:spacing w:line="560" w:lineRule="exact"/>
        <w:ind w:firstLine="640"/>
        <w:contextualSpacing/>
        <w:rPr>
          <w:rFonts w:ascii="方正仿宋_GBK" w:hAnsi="仿宋"/>
          <w:szCs w:val="32"/>
        </w:rPr>
      </w:pPr>
      <w:bookmarkStart w:id="19" w:name="_Toc62064341"/>
      <w:r>
        <w:rPr>
          <w:rFonts w:hint="eastAsia" w:ascii="方正仿宋_GBK" w:hAnsi="仿宋"/>
          <w:szCs w:val="32"/>
        </w:rPr>
        <w:t>（2）全面落实安全生产主体责任</w:t>
      </w:r>
      <w:bookmarkEnd w:id="19"/>
    </w:p>
    <w:p>
      <w:pPr>
        <w:adjustRightInd w:val="0"/>
        <w:spacing w:line="560" w:lineRule="exact"/>
        <w:ind w:firstLine="640"/>
        <w:contextualSpacing/>
        <w:rPr>
          <w:rFonts w:ascii="方正仿宋_GBK" w:hAnsi="仿宋"/>
          <w:szCs w:val="32"/>
        </w:rPr>
      </w:pPr>
      <w:r>
        <w:rPr>
          <w:rFonts w:hint="eastAsia" w:ascii="方正仿宋_GBK" w:hAnsi="仿宋"/>
          <w:szCs w:val="32"/>
        </w:rPr>
        <w:t>切实强化安全生产责任意识，深入贯彻习近平总书记关于安全生产重要论述，牢固树立安全发展观念，筑牢安全红线意识。组织开展安全生产专项整治，继续全面排查安全生产中的薄弱环节，确保交通运输行业安全形势持续向好，助推交通运输高质量发展。</w:t>
      </w:r>
    </w:p>
    <w:p>
      <w:pPr>
        <w:adjustRightInd w:val="0"/>
        <w:spacing w:line="560" w:lineRule="exact"/>
        <w:ind w:firstLine="640"/>
        <w:contextualSpacing/>
        <w:rPr>
          <w:rFonts w:ascii="方正仿宋_GBK" w:hAnsi="仿宋"/>
          <w:szCs w:val="32"/>
        </w:rPr>
      </w:pPr>
      <w:r>
        <w:rPr>
          <w:rFonts w:hint="eastAsia" w:ascii="方正仿宋_GBK" w:hAnsi="仿宋"/>
          <w:szCs w:val="32"/>
        </w:rPr>
        <w:t>严格落实企业安全生产主体责任，健全企业安全生产制度和各项操作规程，完善交通运输安全生产监督管理工作责任规范，建立安全生产权责清单和安全生产失信联合惩戒黑名单。加强关键岗位从业人员安全生产操作规范培训，提升交通参与者安全素质。</w:t>
      </w:r>
    </w:p>
    <w:p>
      <w:pPr>
        <w:adjustRightInd w:val="0"/>
        <w:spacing w:line="560" w:lineRule="exact"/>
        <w:ind w:firstLine="640"/>
        <w:contextualSpacing/>
        <w:rPr>
          <w:rFonts w:ascii="方正仿宋_GBK" w:hAnsi="仿宋"/>
          <w:szCs w:val="32"/>
        </w:rPr>
      </w:pPr>
      <w:bookmarkStart w:id="20" w:name="_Toc62064343"/>
      <w:r>
        <w:rPr>
          <w:rFonts w:hint="eastAsia" w:ascii="方正仿宋_GBK" w:hAnsi="仿宋"/>
          <w:szCs w:val="32"/>
        </w:rPr>
        <w:t>（3）提高交通运输安全监管水平</w:t>
      </w:r>
      <w:bookmarkEnd w:id="20"/>
    </w:p>
    <w:p>
      <w:pPr>
        <w:adjustRightInd w:val="0"/>
        <w:spacing w:line="560" w:lineRule="exact"/>
        <w:ind w:firstLine="640"/>
        <w:contextualSpacing/>
        <w:rPr>
          <w:rFonts w:ascii="方正仿宋_GBK" w:hAnsi="仿宋"/>
          <w:szCs w:val="32"/>
        </w:rPr>
      </w:pPr>
      <w:r>
        <w:rPr>
          <w:rFonts w:hint="eastAsia" w:ascii="方正仿宋_GBK" w:hAnsi="仿宋"/>
          <w:szCs w:val="32"/>
        </w:rPr>
        <w:t>加强科技对交通参与人员安全素质、交通基础设施运行、设施设备安全性能、行业安全管理、应急管理等支撑作用，全面提高安全和应急管理现代化水平。在城乡客运车辆上积极推广应用道路运输智能安全防控技术，鼓励普通货运车辆推广应用。推广应用突发事件应急处置技术与装备，建立突发事件智能调度与辅助决策平台。完善和落实涵盖公路水运、城乡客运、工程建设等领域的应急管理预案，加强交通应急队伍建设，增强应对公共突发事件的能力。</w:t>
      </w:r>
    </w:p>
    <w:p>
      <w:pPr>
        <w:spacing w:line="560" w:lineRule="exact"/>
        <w:ind w:firstLine="640"/>
        <w:contextualSpacing/>
        <w:textAlignment w:val="baseline"/>
        <w:outlineLvl w:val="3"/>
        <w:rPr>
          <w:rFonts w:ascii="方正仿宋_GBK" w:hAnsi="仿宋"/>
          <w:bCs/>
          <w:color w:val="000000" w:themeColor="text1"/>
          <w:szCs w:val="32"/>
          <w14:textFill>
            <w14:solidFill>
              <w14:schemeClr w14:val="tx1"/>
            </w14:solidFill>
          </w14:textFill>
        </w:rPr>
      </w:pPr>
      <w:r>
        <w:rPr>
          <w:rFonts w:hint="eastAsia" w:ascii="方正仿宋_GBK" w:hAnsi="仿宋"/>
          <w:bCs/>
          <w:color w:val="000000" w:themeColor="text1"/>
          <w:szCs w:val="32"/>
          <w14:textFill>
            <w14:solidFill>
              <w14:schemeClr w14:val="tx1"/>
            </w14:solidFill>
          </w14:textFill>
        </w:rPr>
        <w:t>3．推进执法装备的配备</w:t>
      </w:r>
    </w:p>
    <w:p>
      <w:pPr>
        <w:spacing w:line="560" w:lineRule="exact"/>
        <w:ind w:firstLine="640"/>
        <w:contextualSpacing/>
        <w:rPr>
          <w:rFonts w:ascii="方正仿宋_GBK" w:hAnsi="仿宋"/>
          <w:szCs w:val="32"/>
        </w:rPr>
      </w:pPr>
      <w:r>
        <w:rPr>
          <w:rFonts w:hint="eastAsia" w:ascii="方正仿宋_GBK" w:hAnsi="仿宋"/>
          <w:szCs w:val="32"/>
        </w:rPr>
        <w:t>（1）加快推进执法车辆增补更新</w:t>
      </w:r>
    </w:p>
    <w:p>
      <w:pPr>
        <w:spacing w:line="560" w:lineRule="exact"/>
        <w:ind w:firstLine="640"/>
        <w:contextualSpacing/>
        <w:rPr>
          <w:rFonts w:ascii="方正仿宋_GBK" w:hAnsi="仿宋"/>
          <w:szCs w:val="32"/>
        </w:rPr>
      </w:pPr>
      <w:r>
        <w:rPr>
          <w:rFonts w:hint="eastAsia" w:ascii="方正仿宋_GBK" w:hAnsi="仿宋"/>
          <w:szCs w:val="32"/>
        </w:rPr>
        <w:t>按标准有序增补更新综合执法车、监控指挥车等各类执法车辆。到“十四五”末，执法单元的执法车辆配备率达到100%。达到报废标准的车辆做到“应废尽废”，逐步淘汰8年以上（或30万公里以上）或存在明显故障的执法车辆。优化执法车辆结构，提高新能源执法车辆的配备比例，原则上用于相对固定线路执法的车辆，在新购置或报废更新时全部选用新能源汽车。</w:t>
      </w:r>
    </w:p>
    <w:p>
      <w:pPr>
        <w:spacing w:line="560" w:lineRule="exact"/>
        <w:ind w:firstLine="640"/>
        <w:contextualSpacing/>
        <w:rPr>
          <w:rFonts w:ascii="方正仿宋_GBK" w:hAnsi="仿宋"/>
          <w:szCs w:val="32"/>
        </w:rPr>
      </w:pPr>
      <w:r>
        <w:rPr>
          <w:rFonts w:hint="eastAsia" w:ascii="方正仿宋_GBK" w:hAnsi="仿宋"/>
          <w:szCs w:val="32"/>
        </w:rPr>
        <w:t>（2）提高个人防护类装备配备率</w:t>
      </w:r>
    </w:p>
    <w:p>
      <w:pPr>
        <w:spacing w:line="560" w:lineRule="exact"/>
        <w:ind w:firstLine="640"/>
        <w:contextualSpacing/>
        <w:rPr>
          <w:rFonts w:ascii="方正仿宋_GBK" w:hAnsi="仿宋"/>
          <w:szCs w:val="32"/>
        </w:rPr>
      </w:pPr>
      <w:r>
        <w:rPr>
          <w:rFonts w:hint="eastAsia" w:ascii="方正仿宋_GBK" w:hAnsi="仿宋"/>
          <w:szCs w:val="32"/>
        </w:rPr>
        <w:t>按标准合理配备执法人员防护头盔、防护手套、安全防护服、防护靴、防化服等个人防护类装备。配备不同季节、不同气候条件下的轻便高效防护装备，不断提升个人防护装备安全性、可靠性和舒适性。到“十四五”末，执法人员高质量安全防护装备配备率达到100%。</w:t>
      </w:r>
    </w:p>
    <w:p>
      <w:pPr>
        <w:spacing w:line="560" w:lineRule="exact"/>
        <w:ind w:firstLine="640"/>
        <w:contextualSpacing/>
        <w:rPr>
          <w:rFonts w:ascii="方正仿宋_GBK" w:hAnsi="仿宋"/>
          <w:szCs w:val="32"/>
        </w:rPr>
      </w:pPr>
      <w:r>
        <w:rPr>
          <w:rFonts w:hint="eastAsia" w:ascii="方正仿宋_GBK" w:hAnsi="仿宋"/>
          <w:szCs w:val="32"/>
        </w:rPr>
        <w:t>（3）加强通用型必配装备配备</w:t>
      </w:r>
    </w:p>
    <w:p>
      <w:pPr>
        <w:spacing w:line="560" w:lineRule="exact"/>
        <w:ind w:firstLine="640"/>
        <w:contextualSpacing/>
        <w:rPr>
          <w:rFonts w:ascii="方正仿宋_GBK" w:hAnsi="仿宋"/>
          <w:szCs w:val="32"/>
        </w:rPr>
      </w:pPr>
      <w:r>
        <w:rPr>
          <w:rFonts w:hint="eastAsia" w:ascii="方正仿宋_GBK" w:hAnsi="仿宋"/>
          <w:szCs w:val="32"/>
        </w:rPr>
        <w:t>重点加强基层一线执法所需的执法记录终端、移动执法终端、车载计算机/打印机，车载监控等通用型必配装备的配备。到“十四五”末，实现基层一线执法单位基本保障型装备配备率达到100%。</w:t>
      </w:r>
    </w:p>
    <w:p>
      <w:pPr>
        <w:spacing w:line="560" w:lineRule="exact"/>
        <w:ind w:firstLine="640"/>
        <w:contextualSpacing/>
        <w:rPr>
          <w:rFonts w:ascii="方正仿宋_GBK" w:hAnsi="仿宋"/>
          <w:szCs w:val="32"/>
        </w:rPr>
      </w:pPr>
      <w:r>
        <w:rPr>
          <w:rFonts w:hint="eastAsia" w:ascii="方正仿宋_GBK" w:hAnsi="仿宋"/>
          <w:szCs w:val="32"/>
        </w:rPr>
        <w:t>（4）加强专用型执法装备配备</w:t>
      </w:r>
    </w:p>
    <w:p>
      <w:pPr>
        <w:adjustRightInd w:val="0"/>
        <w:spacing w:line="560" w:lineRule="exact"/>
        <w:ind w:firstLine="640"/>
        <w:contextualSpacing/>
        <w:rPr>
          <w:rFonts w:ascii="方正仿宋_GBK" w:hAnsi="仿宋"/>
          <w:szCs w:val="32"/>
        </w:rPr>
      </w:pPr>
      <w:r>
        <w:rPr>
          <w:rFonts w:hint="eastAsia" w:ascii="方正仿宋_GBK" w:hAnsi="仿宋"/>
          <w:szCs w:val="32"/>
        </w:rPr>
        <w:t>针对有毒、有害、高温、防爆等特殊执法工作环境，加强阻燃服、耐酸碱手套、防毒面具等专用型执法装备的配备；针对船检船务、搜救巡航等特殊执法领域，加强气体检测、油品取样等专用型执法装备的配备；针对水上应急救援，加强大型无人机、无人船、智能救生设备等应急救援装备的配备。到“十四五”末，实现专用型执法装备“应配尽配”，以满足特殊条件下的执法需求。</w:t>
      </w:r>
    </w:p>
    <w:p>
      <w:pPr>
        <w:adjustRightInd w:val="0"/>
        <w:spacing w:line="560" w:lineRule="exact"/>
        <w:ind w:firstLine="640"/>
        <w:contextualSpacing/>
        <w:rPr>
          <w:rFonts w:ascii="方正仿宋_GBK" w:hAnsi="仿宋"/>
          <w:szCs w:val="32"/>
        </w:rPr>
      </w:pPr>
      <w:r>
        <w:rPr>
          <w:rFonts w:hint="eastAsia" w:ascii="方正仿宋_GBK" w:hAnsi="仿宋"/>
          <w:szCs w:val="32"/>
        </w:rPr>
        <w:t>（5）加强新型装备的推广应用</w:t>
      </w:r>
    </w:p>
    <w:p>
      <w:pPr>
        <w:adjustRightInd w:val="0"/>
        <w:spacing w:line="560" w:lineRule="exact"/>
        <w:ind w:firstLine="640"/>
        <w:contextualSpacing/>
        <w:rPr>
          <w:rFonts w:ascii="方正仿宋_GBK" w:hAnsi="仿宋"/>
          <w:szCs w:val="32"/>
        </w:rPr>
      </w:pPr>
      <w:r>
        <w:rPr>
          <w:rFonts w:hint="eastAsia" w:ascii="方正仿宋_GBK" w:hAnsi="仿宋"/>
          <w:szCs w:val="32"/>
        </w:rPr>
        <w:t>加强电子巡查、轻微违法行为快速处置、非现场（非接触式）处置等智能化、现代化执法装备的推广使用，提高行政执法在线处理率。结合实际需求，引导无人机、智能AR眼镜等执法装备的应用，不断提高执法装备的信息化、智能化水平，实现精准执法、规范执法。</w:t>
      </w:r>
    </w:p>
    <w:p>
      <w:pPr>
        <w:adjustRightInd w:val="0"/>
        <w:spacing w:line="560" w:lineRule="exact"/>
        <w:ind w:firstLine="640"/>
        <w:contextualSpacing/>
        <w:textAlignment w:val="baseline"/>
        <w:outlineLvl w:val="3"/>
        <w:rPr>
          <w:rFonts w:ascii="方正仿宋_GBK" w:hAnsi="仿宋"/>
          <w:bCs/>
          <w:color w:val="000000" w:themeColor="text1"/>
          <w:szCs w:val="32"/>
          <w14:textFill>
            <w14:solidFill>
              <w14:schemeClr w14:val="tx1"/>
            </w14:solidFill>
          </w14:textFill>
        </w:rPr>
      </w:pPr>
      <w:r>
        <w:rPr>
          <w:rFonts w:hint="eastAsia" w:ascii="方正仿宋_GBK" w:hAnsi="仿宋"/>
          <w:bCs/>
          <w:color w:val="000000" w:themeColor="text1"/>
          <w:szCs w:val="32"/>
          <w14:textFill>
            <w14:solidFill>
              <w14:schemeClr w14:val="tx1"/>
            </w14:solidFill>
          </w14:textFill>
        </w:rPr>
        <w:t>4．提升交通法治水平</w:t>
      </w:r>
    </w:p>
    <w:p>
      <w:pPr>
        <w:adjustRightInd w:val="0"/>
        <w:spacing w:line="560" w:lineRule="exact"/>
        <w:ind w:firstLine="640"/>
        <w:contextualSpacing/>
        <w:rPr>
          <w:rFonts w:ascii="方正仿宋_GBK" w:hAnsi="仿宋"/>
          <w:szCs w:val="32"/>
        </w:rPr>
      </w:pPr>
      <w:r>
        <w:rPr>
          <w:rFonts w:hint="eastAsia" w:ascii="方正仿宋_GBK" w:hAnsi="仿宋"/>
          <w:szCs w:val="32"/>
        </w:rPr>
        <w:t>（1）深化交通行业法治建设。健全交通运输依法决策机制和决策程序，扩大行政决策公众参与度。实行重大行政决策全过程记录和立卷归档制度，完善责任追究制度，规范交通运输行政决策行为。推进交通运输领域“互联网+政务服务”，推动交通运输审批事项“一窗受理”“一网办理”。推行交通运输部门法律顾问制度，探索公职律师参与决策论证。</w:t>
      </w:r>
    </w:p>
    <w:p>
      <w:pPr>
        <w:adjustRightInd w:val="0"/>
        <w:spacing w:line="560" w:lineRule="exact"/>
        <w:ind w:firstLine="640"/>
        <w:contextualSpacing/>
        <w:rPr>
          <w:rFonts w:ascii="方正仿宋_GBK" w:hAnsi="仿宋"/>
          <w:szCs w:val="32"/>
        </w:rPr>
      </w:pPr>
      <w:r>
        <w:rPr>
          <w:rFonts w:hint="eastAsia" w:ascii="方正仿宋_GBK" w:hAnsi="仿宋"/>
          <w:szCs w:val="32"/>
        </w:rPr>
        <w:t>（2）深化法治宣传教育。持续推动全市交通运输系统深入学习贯彻习近平法治思想，全面准确把握精神实质、丰富内涵和核心要义。组织推动全行业学习宪法，弘扬宪法精神，增强宪法意识。</w:t>
      </w:r>
    </w:p>
    <w:p>
      <w:pPr>
        <w:spacing w:line="560" w:lineRule="exact"/>
        <w:ind w:firstLine="640"/>
        <w:contextualSpacing/>
        <w:rPr>
          <w:rFonts w:ascii="方正仿宋_GBK" w:hAnsi="仿宋"/>
          <w:szCs w:val="32"/>
        </w:rPr>
      </w:pPr>
      <w:r>
        <w:rPr>
          <w:rFonts w:hint="eastAsia" w:ascii="方正仿宋_GBK" w:hAnsi="仿宋"/>
          <w:szCs w:val="32"/>
        </w:rPr>
        <w:t>（3）推动跨部门联合执法。建立营运车辆交通违法行为联合治理机制。建设公路运输车辆动态称重系统，建成宜兴分中心管理平台。对在籍重点营运车辆，划定违法行为预警线、处罚线，采取有力措施及时作出预警、处罚措施。着重围绕“两客一危”、非法营运、超限超载治理、非法码头整治、船舶污染防治等关键领域，开展大规模联合执法行动。</w:t>
      </w:r>
    </w:p>
    <w:p>
      <w:pPr>
        <w:spacing w:line="560" w:lineRule="exact"/>
        <w:ind w:firstLine="640"/>
        <w:contextualSpacing/>
        <w:rPr>
          <w:rFonts w:ascii="方正仿宋_GBK" w:hAnsi="仿宋"/>
          <w:szCs w:val="32"/>
        </w:rPr>
      </w:pPr>
      <w:r>
        <w:rPr>
          <w:rFonts w:hint="eastAsia" w:ascii="方正仿宋_GBK" w:hAnsi="仿宋"/>
          <w:szCs w:val="32"/>
        </w:rPr>
        <w:t>（4）探索跨区域联合执法。强化与周边地区间道路、水路交通运输领域执法信息的共享交换和业务协同。探索推进安全运行控制、交通运输管理协同。深化联动联勤机制，推进联勤指挥、“两客一危”重点车辆监管等方面合作。</w:t>
      </w:r>
    </w:p>
    <w:p>
      <w:pPr>
        <w:spacing w:line="560" w:lineRule="exact"/>
        <w:ind w:firstLine="640"/>
        <w:contextualSpacing/>
        <w:textAlignment w:val="baseline"/>
        <w:outlineLvl w:val="3"/>
        <w:rPr>
          <w:rFonts w:ascii="方正仿宋_GBK" w:hAnsi="仿宋"/>
          <w:bCs/>
          <w:color w:val="000000" w:themeColor="text1"/>
          <w:szCs w:val="32"/>
          <w14:textFill>
            <w14:solidFill>
              <w14:schemeClr w14:val="tx1"/>
            </w14:solidFill>
          </w14:textFill>
        </w:rPr>
      </w:pPr>
      <w:bookmarkStart w:id="21" w:name="_Toc62064347"/>
      <w:r>
        <w:rPr>
          <w:rFonts w:hint="eastAsia" w:ascii="方正仿宋_GBK" w:hAnsi="仿宋"/>
          <w:bCs/>
          <w:color w:val="000000" w:themeColor="text1"/>
          <w:szCs w:val="32"/>
          <w14:textFill>
            <w14:solidFill>
              <w14:schemeClr w14:val="tx1"/>
            </w14:solidFill>
          </w14:textFill>
        </w:rPr>
        <w:t>5．加强交通信用建设</w:t>
      </w:r>
      <w:bookmarkEnd w:id="21"/>
    </w:p>
    <w:p>
      <w:pPr>
        <w:spacing w:line="560" w:lineRule="exact"/>
        <w:ind w:firstLine="640"/>
        <w:contextualSpacing/>
        <w:rPr>
          <w:rFonts w:ascii="方正仿宋_GBK" w:hAnsi="仿宋"/>
          <w:szCs w:val="32"/>
        </w:rPr>
      </w:pPr>
      <w:r>
        <w:rPr>
          <w:rFonts w:hint="eastAsia" w:ascii="方正仿宋_GBK" w:hAnsi="仿宋"/>
          <w:szCs w:val="32"/>
        </w:rPr>
        <w:t>（1）加快推进传统治理模式向信用管理模式转型。创新事前环节信用监管，建立健全行政许可、企业安全检查信用承诺制度，探索开展经营者准入前诚信教育。鼓励交通运输市场主体主动向社会做出信用承诺，推动各领域事中信用评价，应用信用评价结果，逐步实施信用分类分级监管。完善事后环节信用监管，建立与相关信用办等部门的失信联合惩戒机制，开展失信联合惩戒。</w:t>
      </w:r>
    </w:p>
    <w:p>
      <w:pPr>
        <w:spacing w:line="560" w:lineRule="exact"/>
        <w:ind w:firstLine="640"/>
        <w:contextualSpacing/>
        <w:rPr>
          <w:rFonts w:ascii="方正仿宋_GBK" w:hAnsi="仿宋"/>
          <w:szCs w:val="32"/>
        </w:rPr>
      </w:pPr>
      <w:r>
        <w:rPr>
          <w:rFonts w:hint="eastAsia" w:ascii="方正仿宋_GBK" w:hAnsi="仿宋"/>
          <w:szCs w:val="32"/>
        </w:rPr>
        <w:t>（2）做好信用信息归集与互联共享。按照全省建立“一库一网一平台”的要求，根据《江苏省交通运输行业信用信息采集报送规范》和《江苏省交通运输行业信用信息数据结构标准》，做好从业单位和从业人员信用信息的归集工作。</w:t>
      </w:r>
    </w:p>
    <w:p>
      <w:pPr>
        <w:adjustRightInd w:val="0"/>
        <w:spacing w:line="560" w:lineRule="exact"/>
        <w:ind w:firstLine="640"/>
        <w:contextualSpacing/>
        <w:rPr>
          <w:rFonts w:ascii="方正仿宋_GBK" w:hAnsi="仿宋"/>
          <w:szCs w:val="32"/>
        </w:rPr>
      </w:pPr>
      <w:r>
        <w:rPr>
          <w:rFonts w:hint="eastAsia" w:ascii="方正仿宋_GBK" w:hAnsi="仿宋"/>
          <w:szCs w:val="32"/>
        </w:rPr>
        <w:t>（3）探索开展信用评价和奖惩应用。逐步推行信用承诺制，将信用评价作为交通运输从业单位和主要从业人员市场准入、政府采购、评标定标、评优评先等的重要依据。落实省级要求，推行“黑名单”管理制度。要在依法依规的条件下，积极与第三方信用服务机构开展合作。</w:t>
      </w:r>
    </w:p>
    <w:p>
      <w:pPr>
        <w:adjustRightInd w:val="0"/>
        <w:spacing w:line="560" w:lineRule="exact"/>
        <w:ind w:firstLine="640"/>
        <w:contextualSpacing/>
        <w:textAlignment w:val="baseline"/>
        <w:outlineLvl w:val="3"/>
        <w:rPr>
          <w:rFonts w:ascii="方正仿宋_GBK" w:hAnsi="仿宋"/>
          <w:bCs/>
          <w:color w:val="000000" w:themeColor="text1"/>
          <w:szCs w:val="32"/>
          <w14:textFill>
            <w14:solidFill>
              <w14:schemeClr w14:val="tx1"/>
            </w14:solidFill>
          </w14:textFill>
        </w:rPr>
      </w:pPr>
      <w:r>
        <w:rPr>
          <w:rFonts w:hint="eastAsia" w:ascii="方正仿宋_GBK" w:hAnsi="仿宋"/>
          <w:bCs/>
          <w:color w:val="000000" w:themeColor="text1"/>
          <w:szCs w:val="32"/>
          <w14:textFill>
            <w14:solidFill>
              <w14:schemeClr w14:val="tx1"/>
            </w14:solidFill>
          </w14:textFill>
        </w:rPr>
        <w:t>6．强化党风廉政及文明规范执法建设</w:t>
      </w:r>
    </w:p>
    <w:p>
      <w:pPr>
        <w:adjustRightInd w:val="0"/>
        <w:spacing w:line="560" w:lineRule="exact"/>
        <w:ind w:firstLine="640"/>
        <w:contextualSpacing/>
        <w:rPr>
          <w:rFonts w:ascii="方正仿宋_GBK" w:hAnsi="仿宋"/>
          <w:szCs w:val="32"/>
        </w:rPr>
      </w:pPr>
      <w:bookmarkStart w:id="22" w:name="_Toc24616"/>
      <w:bookmarkStart w:id="23" w:name="_Toc433270768"/>
      <w:r>
        <w:rPr>
          <w:rFonts w:hint="eastAsia" w:ascii="方正仿宋_GBK" w:hAnsi="仿宋"/>
          <w:szCs w:val="32"/>
        </w:rPr>
        <w:t>（1）持续推进党风廉政建设。</w:t>
      </w:r>
      <w:bookmarkEnd w:id="22"/>
      <w:bookmarkEnd w:id="23"/>
      <w:r>
        <w:rPr>
          <w:rFonts w:hint="eastAsia" w:ascii="方正仿宋_GBK" w:hAnsi="仿宋"/>
          <w:szCs w:val="32"/>
        </w:rPr>
        <w:t>完善党员思想教育的长效机制，坚持以习近平新时代中国特色社会主义思想为指导，以学习贯彻党章和党的十九大、二十大精神为主线，以“不忘初心、牢记使命”为主题，以党建基地阵地为载体，以贯彻落实党的十九届五中全会精神和党员教育管理工作条例、党员教育培训工作规划（2019—2023年）为抓手，强化思想政治武装，牢固树立“四个意识”。</w:t>
      </w:r>
    </w:p>
    <w:p>
      <w:pPr>
        <w:adjustRightInd w:val="0"/>
        <w:spacing w:line="560" w:lineRule="exact"/>
        <w:ind w:firstLine="640"/>
        <w:contextualSpacing/>
        <w:rPr>
          <w:rFonts w:ascii="方正仿宋_GBK" w:hAnsi="仿宋"/>
          <w:szCs w:val="32"/>
        </w:rPr>
      </w:pPr>
      <w:r>
        <w:rPr>
          <w:rFonts w:hint="eastAsia" w:ascii="方正仿宋_GBK" w:hAnsi="仿宋"/>
          <w:szCs w:val="32"/>
        </w:rPr>
        <w:t>（2）加快行业执法文明规范建设。加强执法人员业务培训，严格执法人员准入和退出管理，进一步提升执法人员规范执法水平。开展行政执法质量大检查活动，以“规范执法文书案卷、推进执法全过程视（音）频记录、推动智能执法”为着力点，认真落实交通行政执法全面质量管理制度，全面提升行业规范文明执法水平。</w:t>
      </w:r>
    </w:p>
    <w:p>
      <w:pPr>
        <w:adjustRightInd w:val="0"/>
        <w:spacing w:line="560" w:lineRule="exact"/>
        <w:ind w:firstLine="640"/>
        <w:rPr>
          <w:rFonts w:ascii="方正黑体_GBK" w:eastAsia="方正黑体_GBK"/>
        </w:rPr>
      </w:pPr>
      <w:bookmarkStart w:id="24" w:name="_Toc81426674"/>
      <w:r>
        <w:rPr>
          <w:rFonts w:hint="eastAsia" w:ascii="方正黑体_GBK" w:eastAsia="方正黑体_GBK"/>
        </w:rPr>
        <w:t>四、规划实施保障</w:t>
      </w:r>
      <w:bookmarkEnd w:id="24"/>
    </w:p>
    <w:p>
      <w:pPr>
        <w:adjustRightInd w:val="0"/>
        <w:spacing w:line="560" w:lineRule="exact"/>
        <w:ind w:firstLine="640"/>
        <w:rPr>
          <w:rFonts w:ascii="方正楷体_GBK" w:eastAsia="方正楷体_GBK"/>
        </w:rPr>
      </w:pPr>
      <w:bookmarkStart w:id="25" w:name="_Toc454544338"/>
      <w:bookmarkStart w:id="26" w:name="_Toc81426675"/>
      <w:r>
        <w:rPr>
          <w:rFonts w:hint="eastAsia" w:ascii="方正楷体_GBK" w:eastAsia="方正楷体_GBK"/>
        </w:rPr>
        <w:t>（一）组织保障</w:t>
      </w:r>
      <w:bookmarkEnd w:id="25"/>
      <w:bookmarkEnd w:id="26"/>
    </w:p>
    <w:p>
      <w:pPr>
        <w:adjustRightInd w:val="0"/>
        <w:spacing w:line="560" w:lineRule="exact"/>
        <w:ind w:firstLine="640"/>
        <w:rPr>
          <w:rFonts w:ascii="方正仿宋_GBK"/>
        </w:rPr>
      </w:pPr>
      <w:r>
        <w:rPr>
          <w:rFonts w:hint="eastAsia" w:ascii="方正仿宋_GBK"/>
        </w:rPr>
        <w:t>对外强化与周边地区各交通部门区域协调机制，促进区域交通基础设施互联互通。对内加强部门协同，加强交通运输主管部门与发改、财政、自规、住建等部门的沟通，完善协调机制。促进交通行业规划、建设、运营、管理全过程统筹管理。积极推动建立多规协调机制，争取在总规、控详等规划编制过程中，将交通规划成果予以充分融入，依托城乡规划体系的权威性，强化交通规划的约束力，确保规划确定的各项目标和任务有序推进。</w:t>
      </w:r>
    </w:p>
    <w:p>
      <w:pPr>
        <w:spacing w:line="560" w:lineRule="exact"/>
        <w:ind w:firstLine="640"/>
        <w:rPr>
          <w:rFonts w:ascii="方正楷体_GBK" w:eastAsia="方正楷体_GBK"/>
        </w:rPr>
      </w:pPr>
      <w:bookmarkStart w:id="27" w:name="_Toc81426676"/>
      <w:r>
        <w:rPr>
          <w:rFonts w:hint="eastAsia" w:ascii="方正楷体_GBK" w:eastAsia="方正楷体_GBK"/>
        </w:rPr>
        <w:t>（二）资源保障</w:t>
      </w:r>
      <w:bookmarkEnd w:id="27"/>
    </w:p>
    <w:p>
      <w:pPr>
        <w:spacing w:line="560" w:lineRule="exact"/>
        <w:ind w:firstLine="640"/>
        <w:contextualSpacing/>
        <w:rPr>
          <w:rFonts w:ascii="方正仿宋_GBK" w:hAnsi="仿宋"/>
          <w:szCs w:val="32"/>
        </w:rPr>
      </w:pPr>
      <w:r>
        <w:rPr>
          <w:rFonts w:hint="eastAsia" w:ascii="方正仿宋_GBK" w:hAnsi="仿宋"/>
          <w:szCs w:val="32"/>
        </w:rPr>
        <w:t>1．资金保障</w:t>
      </w:r>
    </w:p>
    <w:p>
      <w:pPr>
        <w:spacing w:line="560" w:lineRule="exact"/>
        <w:ind w:firstLine="640"/>
        <w:contextualSpacing/>
        <w:rPr>
          <w:rFonts w:ascii="方正仿宋_GBK" w:hAnsi="仿宋"/>
          <w:szCs w:val="32"/>
        </w:rPr>
      </w:pPr>
      <w:bookmarkStart w:id="28" w:name="_Toc454544339"/>
      <w:r>
        <w:rPr>
          <w:rFonts w:hint="eastAsia" w:ascii="方正仿宋_GBK" w:hAnsi="仿宋"/>
          <w:szCs w:val="32"/>
        </w:rPr>
        <w:t>按照事权和支出责任相匹配原则，将规划中的重点项目积极纳入国、省规划，积极争取中央和省投入资金。加强跟踪和掌握国家、省、市各级政府及相关部门对交通运输建设发展的资金投入导向，统筹谋划宜兴市重点建设项目投入，最大限度争取国家和省资金支持的同时，调动地方政府建设资金投入积极性。</w:t>
      </w:r>
    </w:p>
    <w:p>
      <w:pPr>
        <w:spacing w:line="560" w:lineRule="exact"/>
        <w:ind w:firstLine="640"/>
        <w:contextualSpacing/>
        <w:rPr>
          <w:rFonts w:ascii="方正仿宋_GBK" w:hAnsi="仿宋"/>
          <w:szCs w:val="32"/>
        </w:rPr>
      </w:pPr>
      <w:r>
        <w:rPr>
          <w:rFonts w:hint="eastAsia" w:ascii="方正仿宋_GBK" w:hAnsi="仿宋"/>
          <w:szCs w:val="32"/>
        </w:rPr>
        <w:t>积极探索市场化运作，加强建设资金的来源多元化。进一步探索市场化动作手段，探索PPP、EPC等模式，缓解政府投入不足的问题。</w:t>
      </w:r>
    </w:p>
    <w:p>
      <w:pPr>
        <w:spacing w:line="560" w:lineRule="exact"/>
        <w:ind w:firstLine="640"/>
        <w:contextualSpacing/>
        <w:rPr>
          <w:rFonts w:ascii="方正仿宋_GBK" w:hAnsi="仿宋"/>
          <w:szCs w:val="32"/>
        </w:rPr>
      </w:pPr>
      <w:r>
        <w:rPr>
          <w:rFonts w:hint="eastAsia" w:ascii="方正仿宋_GBK" w:hAnsi="仿宋"/>
          <w:szCs w:val="32"/>
        </w:rPr>
        <w:t>2．用地保障</w:t>
      </w:r>
      <w:bookmarkEnd w:id="28"/>
    </w:p>
    <w:p>
      <w:pPr>
        <w:spacing w:line="560" w:lineRule="exact"/>
        <w:ind w:firstLine="640"/>
        <w:contextualSpacing/>
        <w:rPr>
          <w:rFonts w:ascii="方正仿宋_GBK" w:hAnsi="仿宋"/>
          <w:szCs w:val="32"/>
        </w:rPr>
      </w:pPr>
      <w:r>
        <w:rPr>
          <w:rFonts w:hint="eastAsia" w:ascii="方正仿宋_GBK" w:hAnsi="仿宋"/>
          <w:szCs w:val="32"/>
        </w:rPr>
        <w:t>积极争取国家、省对宜兴交通基础设施建设用地指标的支持。将交通基础设施规划纳入土地利用规划和城市总体规划中统筹考虑，保障重大项目的用地指标。积极推动建立交通项目土地指标专项保障机制，优先安排交通项目补充耕地指标，确保交通项目依法用地。</w:t>
      </w:r>
    </w:p>
    <w:p>
      <w:pPr>
        <w:spacing w:line="560" w:lineRule="exact"/>
        <w:ind w:firstLine="640"/>
        <w:rPr>
          <w:rFonts w:ascii="方正楷体_GBK" w:eastAsia="方正楷体_GBK"/>
        </w:rPr>
      </w:pPr>
      <w:bookmarkStart w:id="29" w:name="_Toc454544340"/>
      <w:bookmarkStart w:id="30" w:name="_Toc81426677"/>
      <w:r>
        <w:rPr>
          <w:rFonts w:hint="eastAsia" w:ascii="方正楷体_GBK" w:eastAsia="方正楷体_GBK"/>
        </w:rPr>
        <w:t>（三）人才保障</w:t>
      </w:r>
      <w:bookmarkEnd w:id="29"/>
      <w:bookmarkEnd w:id="30"/>
    </w:p>
    <w:p>
      <w:pPr>
        <w:spacing w:line="560" w:lineRule="exact"/>
        <w:ind w:firstLine="640"/>
        <w:rPr>
          <w:bCs/>
        </w:rPr>
      </w:pPr>
      <w:r>
        <w:rPr>
          <w:rFonts w:hint="eastAsia"/>
        </w:rPr>
        <w:t>把人才发展纳入领导班子的重点考核内容，完善选人、用人制度，确保人才引进、流动渠道的公开、公正和畅通。研究制订人才发展战略和中长期发展规划。建立完善引人、用人和育人机制，健全人才管理、考核与退出机制。统筹推进各类人才队伍建设，实施紧缺人才增量计划、管理人才提升计划和技能人才培训计划，有效提升交通运输从业人员整体素质。加强外部交流与合作，与其他县市、科研院所、咨询机构建立经常性的交流和合作机制。</w:t>
      </w:r>
    </w:p>
    <w:sectPr>
      <w:pgSz w:w="11900" w:h="16840"/>
      <w:pgMar w:top="1440" w:right="1797" w:bottom="1440" w:left="1797" w:header="720" w:footer="720" w:gutter="0"/>
      <w:pgNumType w:fmt="numberInDash"/>
      <w:cols w:space="425"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dobe 黑体 Std R">
    <w:altName w:val="微软雅黑"/>
    <w:panose1 w:val="020B0400000000000000"/>
    <w:charset w:val="86"/>
    <w:family w:val="swiss"/>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19F" w:csb1="00000000"/>
  </w:font>
  <w:font w:name="文鼎细圆简">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87322"/>
      <w:docPartObj>
        <w:docPartGallery w:val="autotext"/>
      </w:docPartObj>
    </w:sdtPr>
    <w:sdtContent>
      <w:p>
        <w:pPr>
          <w:pStyle w:val="16"/>
          <w:ind w:firstLine="360"/>
          <w:jc w:val="right"/>
        </w:pPr>
        <w:r>
          <w:fldChar w:fldCharType="begin"/>
        </w:r>
        <w:r>
          <w:instrText xml:space="preserve">PAGE   \* MERGEFORMAT</w:instrText>
        </w:r>
        <w:r>
          <w:fldChar w:fldCharType="separate"/>
        </w:r>
        <w:r>
          <w:rPr>
            <w:lang w:val="zh-CN"/>
          </w:rPr>
          <w:t>-</w:t>
        </w:r>
        <w:r>
          <w:t xml:space="preserve"> 43 -</w:t>
        </w:r>
        <w:r>
          <w:fldChar w:fldCharType="end"/>
        </w:r>
      </w:p>
    </w:sdtContent>
  </w:sdt>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14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NzcxYmNkMTVmZWVkNDMzZWI1NmViYjQyNGI5ZjAifQ=="/>
  </w:docVars>
  <w:rsids>
    <w:rsidRoot w:val="00905A04"/>
    <w:rsid w:val="00000AD1"/>
    <w:rsid w:val="00000B37"/>
    <w:rsid w:val="00002933"/>
    <w:rsid w:val="00002B58"/>
    <w:rsid w:val="000032FA"/>
    <w:rsid w:val="0000414F"/>
    <w:rsid w:val="000065B5"/>
    <w:rsid w:val="00012767"/>
    <w:rsid w:val="00012E4B"/>
    <w:rsid w:val="000143E8"/>
    <w:rsid w:val="000170A1"/>
    <w:rsid w:val="00020684"/>
    <w:rsid w:val="00020734"/>
    <w:rsid w:val="000208E5"/>
    <w:rsid w:val="0002291F"/>
    <w:rsid w:val="00024417"/>
    <w:rsid w:val="0002448F"/>
    <w:rsid w:val="000250F7"/>
    <w:rsid w:val="00025564"/>
    <w:rsid w:val="00026267"/>
    <w:rsid w:val="00026385"/>
    <w:rsid w:val="000313E2"/>
    <w:rsid w:val="00031472"/>
    <w:rsid w:val="00031532"/>
    <w:rsid w:val="00035788"/>
    <w:rsid w:val="00035E62"/>
    <w:rsid w:val="00037213"/>
    <w:rsid w:val="0003796F"/>
    <w:rsid w:val="00037BCC"/>
    <w:rsid w:val="000425B2"/>
    <w:rsid w:val="000459CC"/>
    <w:rsid w:val="000461B1"/>
    <w:rsid w:val="0004622D"/>
    <w:rsid w:val="00047903"/>
    <w:rsid w:val="000479CB"/>
    <w:rsid w:val="00047D7B"/>
    <w:rsid w:val="000500C4"/>
    <w:rsid w:val="0005059A"/>
    <w:rsid w:val="00051743"/>
    <w:rsid w:val="00052864"/>
    <w:rsid w:val="00053EB8"/>
    <w:rsid w:val="000572A4"/>
    <w:rsid w:val="0006005C"/>
    <w:rsid w:val="0006033E"/>
    <w:rsid w:val="00064BB2"/>
    <w:rsid w:val="000705AC"/>
    <w:rsid w:val="00070CB7"/>
    <w:rsid w:val="00073218"/>
    <w:rsid w:val="00075AC7"/>
    <w:rsid w:val="000760A1"/>
    <w:rsid w:val="00077691"/>
    <w:rsid w:val="00080613"/>
    <w:rsid w:val="00081AE9"/>
    <w:rsid w:val="00083DEB"/>
    <w:rsid w:val="00086842"/>
    <w:rsid w:val="000906B9"/>
    <w:rsid w:val="00091771"/>
    <w:rsid w:val="00091B8C"/>
    <w:rsid w:val="00092776"/>
    <w:rsid w:val="000933D6"/>
    <w:rsid w:val="0009564A"/>
    <w:rsid w:val="00096645"/>
    <w:rsid w:val="000974B6"/>
    <w:rsid w:val="000A2528"/>
    <w:rsid w:val="000A3811"/>
    <w:rsid w:val="000B00A0"/>
    <w:rsid w:val="000B35E5"/>
    <w:rsid w:val="000B3C48"/>
    <w:rsid w:val="000B4DDA"/>
    <w:rsid w:val="000B5DBC"/>
    <w:rsid w:val="000B7E23"/>
    <w:rsid w:val="000C03D6"/>
    <w:rsid w:val="000C0D0D"/>
    <w:rsid w:val="000C2C32"/>
    <w:rsid w:val="000C4376"/>
    <w:rsid w:val="000C68A7"/>
    <w:rsid w:val="000D01C7"/>
    <w:rsid w:val="000D03B4"/>
    <w:rsid w:val="000D244C"/>
    <w:rsid w:val="000D5DE8"/>
    <w:rsid w:val="000E46CF"/>
    <w:rsid w:val="000E6026"/>
    <w:rsid w:val="000E67DA"/>
    <w:rsid w:val="000F18D8"/>
    <w:rsid w:val="000F2444"/>
    <w:rsid w:val="000F418E"/>
    <w:rsid w:val="000F5F7D"/>
    <w:rsid w:val="000F6464"/>
    <w:rsid w:val="000F7C7E"/>
    <w:rsid w:val="00100DEF"/>
    <w:rsid w:val="00100FCF"/>
    <w:rsid w:val="001023D0"/>
    <w:rsid w:val="00103BFB"/>
    <w:rsid w:val="0010452C"/>
    <w:rsid w:val="00104862"/>
    <w:rsid w:val="001052F1"/>
    <w:rsid w:val="00105389"/>
    <w:rsid w:val="00107819"/>
    <w:rsid w:val="001121ED"/>
    <w:rsid w:val="00112315"/>
    <w:rsid w:val="0011341E"/>
    <w:rsid w:val="00113B2F"/>
    <w:rsid w:val="001140F3"/>
    <w:rsid w:val="0011613A"/>
    <w:rsid w:val="001234C7"/>
    <w:rsid w:val="00125884"/>
    <w:rsid w:val="001308E6"/>
    <w:rsid w:val="00131E28"/>
    <w:rsid w:val="00137204"/>
    <w:rsid w:val="00140ACD"/>
    <w:rsid w:val="00141C71"/>
    <w:rsid w:val="00142AE7"/>
    <w:rsid w:val="00142F59"/>
    <w:rsid w:val="0014447D"/>
    <w:rsid w:val="00144DFD"/>
    <w:rsid w:val="001472C0"/>
    <w:rsid w:val="0015068E"/>
    <w:rsid w:val="0015151A"/>
    <w:rsid w:val="00153591"/>
    <w:rsid w:val="00154CB4"/>
    <w:rsid w:val="001567E2"/>
    <w:rsid w:val="001604C5"/>
    <w:rsid w:val="001614D3"/>
    <w:rsid w:val="00161994"/>
    <w:rsid w:val="001648DD"/>
    <w:rsid w:val="00165DA4"/>
    <w:rsid w:val="001667DF"/>
    <w:rsid w:val="00167C54"/>
    <w:rsid w:val="00170062"/>
    <w:rsid w:val="00170E8B"/>
    <w:rsid w:val="00171829"/>
    <w:rsid w:val="001729EB"/>
    <w:rsid w:val="00173A63"/>
    <w:rsid w:val="00174AFC"/>
    <w:rsid w:val="001774C4"/>
    <w:rsid w:val="0018022D"/>
    <w:rsid w:val="00181276"/>
    <w:rsid w:val="00182B36"/>
    <w:rsid w:val="0018323A"/>
    <w:rsid w:val="0018569B"/>
    <w:rsid w:val="00186BFE"/>
    <w:rsid w:val="00187324"/>
    <w:rsid w:val="00193341"/>
    <w:rsid w:val="00193373"/>
    <w:rsid w:val="00196C0A"/>
    <w:rsid w:val="0019748D"/>
    <w:rsid w:val="001A204C"/>
    <w:rsid w:val="001A35D2"/>
    <w:rsid w:val="001A6EF3"/>
    <w:rsid w:val="001A756D"/>
    <w:rsid w:val="001A7AE3"/>
    <w:rsid w:val="001A7C3E"/>
    <w:rsid w:val="001B06E7"/>
    <w:rsid w:val="001B0A1A"/>
    <w:rsid w:val="001B194B"/>
    <w:rsid w:val="001B283D"/>
    <w:rsid w:val="001B3B45"/>
    <w:rsid w:val="001B42D2"/>
    <w:rsid w:val="001B44E9"/>
    <w:rsid w:val="001B509F"/>
    <w:rsid w:val="001B5465"/>
    <w:rsid w:val="001B5485"/>
    <w:rsid w:val="001B64BB"/>
    <w:rsid w:val="001B7C0B"/>
    <w:rsid w:val="001C1FAB"/>
    <w:rsid w:val="001C41A2"/>
    <w:rsid w:val="001C4989"/>
    <w:rsid w:val="001C4A03"/>
    <w:rsid w:val="001C6D06"/>
    <w:rsid w:val="001C7493"/>
    <w:rsid w:val="001D3F01"/>
    <w:rsid w:val="001D4780"/>
    <w:rsid w:val="001D4EAD"/>
    <w:rsid w:val="001D5652"/>
    <w:rsid w:val="001D5DE1"/>
    <w:rsid w:val="001D781E"/>
    <w:rsid w:val="001E3A89"/>
    <w:rsid w:val="001E4402"/>
    <w:rsid w:val="001F3321"/>
    <w:rsid w:val="001F5505"/>
    <w:rsid w:val="001F76D3"/>
    <w:rsid w:val="00200C06"/>
    <w:rsid w:val="00202CB3"/>
    <w:rsid w:val="002047CE"/>
    <w:rsid w:val="00206815"/>
    <w:rsid w:val="00213E6B"/>
    <w:rsid w:val="002140AB"/>
    <w:rsid w:val="00216C15"/>
    <w:rsid w:val="00217944"/>
    <w:rsid w:val="00217CBC"/>
    <w:rsid w:val="00223015"/>
    <w:rsid w:val="0022669F"/>
    <w:rsid w:val="00227749"/>
    <w:rsid w:val="00230DE3"/>
    <w:rsid w:val="002317F7"/>
    <w:rsid w:val="002324EE"/>
    <w:rsid w:val="00233913"/>
    <w:rsid w:val="002365AD"/>
    <w:rsid w:val="00237001"/>
    <w:rsid w:val="00240EEC"/>
    <w:rsid w:val="00242239"/>
    <w:rsid w:val="00244A5F"/>
    <w:rsid w:val="00246CCA"/>
    <w:rsid w:val="002503B9"/>
    <w:rsid w:val="00252880"/>
    <w:rsid w:val="00254019"/>
    <w:rsid w:val="002547C4"/>
    <w:rsid w:val="0025694C"/>
    <w:rsid w:val="0026095C"/>
    <w:rsid w:val="00260DA6"/>
    <w:rsid w:val="002641D5"/>
    <w:rsid w:val="00264B93"/>
    <w:rsid w:val="002652E6"/>
    <w:rsid w:val="00266E94"/>
    <w:rsid w:val="002725D5"/>
    <w:rsid w:val="00273AF9"/>
    <w:rsid w:val="002761A9"/>
    <w:rsid w:val="0027646B"/>
    <w:rsid w:val="00282092"/>
    <w:rsid w:val="002820BE"/>
    <w:rsid w:val="002841A6"/>
    <w:rsid w:val="0028453A"/>
    <w:rsid w:val="002849D9"/>
    <w:rsid w:val="00284BB8"/>
    <w:rsid w:val="00292DB0"/>
    <w:rsid w:val="00294FE5"/>
    <w:rsid w:val="00297DA1"/>
    <w:rsid w:val="002A0DFF"/>
    <w:rsid w:val="002A1CAB"/>
    <w:rsid w:val="002A4AF4"/>
    <w:rsid w:val="002B0CD0"/>
    <w:rsid w:val="002B0E22"/>
    <w:rsid w:val="002B298A"/>
    <w:rsid w:val="002B4AE6"/>
    <w:rsid w:val="002B7A43"/>
    <w:rsid w:val="002B7A44"/>
    <w:rsid w:val="002B7E45"/>
    <w:rsid w:val="002C3EDE"/>
    <w:rsid w:val="002C5317"/>
    <w:rsid w:val="002D2EAC"/>
    <w:rsid w:val="002D4A31"/>
    <w:rsid w:val="002D6970"/>
    <w:rsid w:val="002D79B9"/>
    <w:rsid w:val="002E0607"/>
    <w:rsid w:val="002E178E"/>
    <w:rsid w:val="002E1A22"/>
    <w:rsid w:val="002E289E"/>
    <w:rsid w:val="002E3335"/>
    <w:rsid w:val="002F06C8"/>
    <w:rsid w:val="002F07A0"/>
    <w:rsid w:val="002F1E0F"/>
    <w:rsid w:val="0030022B"/>
    <w:rsid w:val="00300638"/>
    <w:rsid w:val="00303016"/>
    <w:rsid w:val="003040F8"/>
    <w:rsid w:val="00305F3D"/>
    <w:rsid w:val="003072BC"/>
    <w:rsid w:val="00307CB2"/>
    <w:rsid w:val="00311738"/>
    <w:rsid w:val="00312663"/>
    <w:rsid w:val="00317299"/>
    <w:rsid w:val="00321CBA"/>
    <w:rsid w:val="00323226"/>
    <w:rsid w:val="003236D1"/>
    <w:rsid w:val="00326095"/>
    <w:rsid w:val="003268FF"/>
    <w:rsid w:val="00327BB8"/>
    <w:rsid w:val="00330FE7"/>
    <w:rsid w:val="003317D9"/>
    <w:rsid w:val="00333AD5"/>
    <w:rsid w:val="00334C78"/>
    <w:rsid w:val="003362DA"/>
    <w:rsid w:val="00337D2B"/>
    <w:rsid w:val="00337E93"/>
    <w:rsid w:val="0034246D"/>
    <w:rsid w:val="003426EE"/>
    <w:rsid w:val="00344B3F"/>
    <w:rsid w:val="00344E0E"/>
    <w:rsid w:val="00344F41"/>
    <w:rsid w:val="00345D14"/>
    <w:rsid w:val="0034795C"/>
    <w:rsid w:val="00352D03"/>
    <w:rsid w:val="00352D3D"/>
    <w:rsid w:val="00353015"/>
    <w:rsid w:val="00357602"/>
    <w:rsid w:val="0036186E"/>
    <w:rsid w:val="0036387B"/>
    <w:rsid w:val="0036545D"/>
    <w:rsid w:val="003662E0"/>
    <w:rsid w:val="00366A7F"/>
    <w:rsid w:val="003673FE"/>
    <w:rsid w:val="00370A68"/>
    <w:rsid w:val="00371F49"/>
    <w:rsid w:val="003723EB"/>
    <w:rsid w:val="00375A4E"/>
    <w:rsid w:val="003762EE"/>
    <w:rsid w:val="00376EA8"/>
    <w:rsid w:val="003778D3"/>
    <w:rsid w:val="00383A79"/>
    <w:rsid w:val="0038639F"/>
    <w:rsid w:val="00391060"/>
    <w:rsid w:val="00396473"/>
    <w:rsid w:val="0039654C"/>
    <w:rsid w:val="003A1137"/>
    <w:rsid w:val="003A2C09"/>
    <w:rsid w:val="003A30C1"/>
    <w:rsid w:val="003A3BEC"/>
    <w:rsid w:val="003A50D0"/>
    <w:rsid w:val="003A59E2"/>
    <w:rsid w:val="003A768E"/>
    <w:rsid w:val="003A7809"/>
    <w:rsid w:val="003B28D9"/>
    <w:rsid w:val="003B4016"/>
    <w:rsid w:val="003B59BA"/>
    <w:rsid w:val="003B792E"/>
    <w:rsid w:val="003C0AA7"/>
    <w:rsid w:val="003C5E3C"/>
    <w:rsid w:val="003C79B6"/>
    <w:rsid w:val="003D17F9"/>
    <w:rsid w:val="003D580D"/>
    <w:rsid w:val="003D6C4F"/>
    <w:rsid w:val="003D70AA"/>
    <w:rsid w:val="003E11EA"/>
    <w:rsid w:val="003E130E"/>
    <w:rsid w:val="003E1DC6"/>
    <w:rsid w:val="003E61AE"/>
    <w:rsid w:val="003F03C6"/>
    <w:rsid w:val="003F0B36"/>
    <w:rsid w:val="003F2CF4"/>
    <w:rsid w:val="003F2E1A"/>
    <w:rsid w:val="003F50FA"/>
    <w:rsid w:val="003F717C"/>
    <w:rsid w:val="004008A0"/>
    <w:rsid w:val="0040245A"/>
    <w:rsid w:val="00402893"/>
    <w:rsid w:val="00403F26"/>
    <w:rsid w:val="004050F3"/>
    <w:rsid w:val="0040536C"/>
    <w:rsid w:val="00407866"/>
    <w:rsid w:val="00407FD7"/>
    <w:rsid w:val="00411B6F"/>
    <w:rsid w:val="004120D8"/>
    <w:rsid w:val="00413512"/>
    <w:rsid w:val="00414259"/>
    <w:rsid w:val="00414333"/>
    <w:rsid w:val="00416D8E"/>
    <w:rsid w:val="00417947"/>
    <w:rsid w:val="00422D28"/>
    <w:rsid w:val="00423A0C"/>
    <w:rsid w:val="00423DDE"/>
    <w:rsid w:val="00424317"/>
    <w:rsid w:val="00424504"/>
    <w:rsid w:val="00424822"/>
    <w:rsid w:val="00427035"/>
    <w:rsid w:val="004279F5"/>
    <w:rsid w:val="0043024D"/>
    <w:rsid w:val="004321C2"/>
    <w:rsid w:val="004331A1"/>
    <w:rsid w:val="0043445A"/>
    <w:rsid w:val="004344EF"/>
    <w:rsid w:val="00435837"/>
    <w:rsid w:val="00436389"/>
    <w:rsid w:val="00440697"/>
    <w:rsid w:val="00440E7B"/>
    <w:rsid w:val="00446F65"/>
    <w:rsid w:val="004525EE"/>
    <w:rsid w:val="00454896"/>
    <w:rsid w:val="00457C3A"/>
    <w:rsid w:val="00460638"/>
    <w:rsid w:val="00460A01"/>
    <w:rsid w:val="00467279"/>
    <w:rsid w:val="00470591"/>
    <w:rsid w:val="00475C24"/>
    <w:rsid w:val="00476F90"/>
    <w:rsid w:val="00483011"/>
    <w:rsid w:val="004839AD"/>
    <w:rsid w:val="00485790"/>
    <w:rsid w:val="00494A6D"/>
    <w:rsid w:val="004963E5"/>
    <w:rsid w:val="0049762C"/>
    <w:rsid w:val="004A000B"/>
    <w:rsid w:val="004A3308"/>
    <w:rsid w:val="004A370A"/>
    <w:rsid w:val="004A4850"/>
    <w:rsid w:val="004A5A45"/>
    <w:rsid w:val="004A64A2"/>
    <w:rsid w:val="004A697C"/>
    <w:rsid w:val="004A7247"/>
    <w:rsid w:val="004B00A6"/>
    <w:rsid w:val="004B1994"/>
    <w:rsid w:val="004B2B03"/>
    <w:rsid w:val="004B2F5F"/>
    <w:rsid w:val="004B3283"/>
    <w:rsid w:val="004B3387"/>
    <w:rsid w:val="004B4D50"/>
    <w:rsid w:val="004B5798"/>
    <w:rsid w:val="004B5AF1"/>
    <w:rsid w:val="004B6F09"/>
    <w:rsid w:val="004C7CD9"/>
    <w:rsid w:val="004D0390"/>
    <w:rsid w:val="004D3EF6"/>
    <w:rsid w:val="004D6399"/>
    <w:rsid w:val="004D6D69"/>
    <w:rsid w:val="004E162B"/>
    <w:rsid w:val="004E1A5A"/>
    <w:rsid w:val="004E405E"/>
    <w:rsid w:val="004F03FC"/>
    <w:rsid w:val="004F1162"/>
    <w:rsid w:val="004F2653"/>
    <w:rsid w:val="004F2C20"/>
    <w:rsid w:val="004F4260"/>
    <w:rsid w:val="004F55F8"/>
    <w:rsid w:val="004F6E2C"/>
    <w:rsid w:val="00503B37"/>
    <w:rsid w:val="00504483"/>
    <w:rsid w:val="0050554E"/>
    <w:rsid w:val="00510E9D"/>
    <w:rsid w:val="00513346"/>
    <w:rsid w:val="00513A46"/>
    <w:rsid w:val="00513A5A"/>
    <w:rsid w:val="00514EB6"/>
    <w:rsid w:val="00515C5E"/>
    <w:rsid w:val="00520943"/>
    <w:rsid w:val="00521C5C"/>
    <w:rsid w:val="00522008"/>
    <w:rsid w:val="005243BB"/>
    <w:rsid w:val="00530074"/>
    <w:rsid w:val="00530938"/>
    <w:rsid w:val="00535973"/>
    <w:rsid w:val="00535C01"/>
    <w:rsid w:val="00540ABF"/>
    <w:rsid w:val="0054236F"/>
    <w:rsid w:val="0054509D"/>
    <w:rsid w:val="00545446"/>
    <w:rsid w:val="00545BD2"/>
    <w:rsid w:val="00551444"/>
    <w:rsid w:val="005567DC"/>
    <w:rsid w:val="0055782B"/>
    <w:rsid w:val="005578DF"/>
    <w:rsid w:val="00561684"/>
    <w:rsid w:val="005624D0"/>
    <w:rsid w:val="00562905"/>
    <w:rsid w:val="0056361C"/>
    <w:rsid w:val="00563F22"/>
    <w:rsid w:val="00565E12"/>
    <w:rsid w:val="0056620E"/>
    <w:rsid w:val="00566B96"/>
    <w:rsid w:val="00566E60"/>
    <w:rsid w:val="00570CF6"/>
    <w:rsid w:val="00571B30"/>
    <w:rsid w:val="00573854"/>
    <w:rsid w:val="00575A4D"/>
    <w:rsid w:val="00575B97"/>
    <w:rsid w:val="00577149"/>
    <w:rsid w:val="00577F04"/>
    <w:rsid w:val="00583990"/>
    <w:rsid w:val="005839B8"/>
    <w:rsid w:val="0058403C"/>
    <w:rsid w:val="00585E0C"/>
    <w:rsid w:val="00586948"/>
    <w:rsid w:val="00587932"/>
    <w:rsid w:val="00590E16"/>
    <w:rsid w:val="005933B0"/>
    <w:rsid w:val="005A1B4E"/>
    <w:rsid w:val="005A3540"/>
    <w:rsid w:val="005A41A6"/>
    <w:rsid w:val="005B0B6A"/>
    <w:rsid w:val="005B24A8"/>
    <w:rsid w:val="005B6A07"/>
    <w:rsid w:val="005C2285"/>
    <w:rsid w:val="005C2567"/>
    <w:rsid w:val="005C417B"/>
    <w:rsid w:val="005C4563"/>
    <w:rsid w:val="005C74D0"/>
    <w:rsid w:val="005C7A1F"/>
    <w:rsid w:val="005D1EB5"/>
    <w:rsid w:val="005D1EC1"/>
    <w:rsid w:val="005D4BE4"/>
    <w:rsid w:val="005D5DC6"/>
    <w:rsid w:val="005E07E7"/>
    <w:rsid w:val="005E344E"/>
    <w:rsid w:val="005E38E3"/>
    <w:rsid w:val="005E5EE4"/>
    <w:rsid w:val="005E6E6A"/>
    <w:rsid w:val="005F06A1"/>
    <w:rsid w:val="005F3B5F"/>
    <w:rsid w:val="005F4CC6"/>
    <w:rsid w:val="005F4D3A"/>
    <w:rsid w:val="00600E9F"/>
    <w:rsid w:val="006022B5"/>
    <w:rsid w:val="00602A83"/>
    <w:rsid w:val="00602B97"/>
    <w:rsid w:val="00604BF7"/>
    <w:rsid w:val="00605186"/>
    <w:rsid w:val="00607B73"/>
    <w:rsid w:val="00610861"/>
    <w:rsid w:val="00612499"/>
    <w:rsid w:val="00613AE6"/>
    <w:rsid w:val="00614EF0"/>
    <w:rsid w:val="0061547D"/>
    <w:rsid w:val="00615A90"/>
    <w:rsid w:val="00622961"/>
    <w:rsid w:val="006239D6"/>
    <w:rsid w:val="00623CC7"/>
    <w:rsid w:val="00623F84"/>
    <w:rsid w:val="00624FF1"/>
    <w:rsid w:val="006338C9"/>
    <w:rsid w:val="006338DA"/>
    <w:rsid w:val="00635BEC"/>
    <w:rsid w:val="00635E15"/>
    <w:rsid w:val="00640806"/>
    <w:rsid w:val="006425DB"/>
    <w:rsid w:val="0064330C"/>
    <w:rsid w:val="00644953"/>
    <w:rsid w:val="00646719"/>
    <w:rsid w:val="00646851"/>
    <w:rsid w:val="00650971"/>
    <w:rsid w:val="00651546"/>
    <w:rsid w:val="00652C3F"/>
    <w:rsid w:val="006574EE"/>
    <w:rsid w:val="00660E37"/>
    <w:rsid w:val="00662C86"/>
    <w:rsid w:val="00663C64"/>
    <w:rsid w:val="00664533"/>
    <w:rsid w:val="00664EC0"/>
    <w:rsid w:val="0066584B"/>
    <w:rsid w:val="006676AE"/>
    <w:rsid w:val="00672249"/>
    <w:rsid w:val="0067270F"/>
    <w:rsid w:val="00673F0D"/>
    <w:rsid w:val="00674495"/>
    <w:rsid w:val="00676F1B"/>
    <w:rsid w:val="00681F65"/>
    <w:rsid w:val="006834E6"/>
    <w:rsid w:val="00683BE3"/>
    <w:rsid w:val="00685595"/>
    <w:rsid w:val="006856BA"/>
    <w:rsid w:val="00685A11"/>
    <w:rsid w:val="00686AB4"/>
    <w:rsid w:val="00686F1B"/>
    <w:rsid w:val="00690158"/>
    <w:rsid w:val="006966A5"/>
    <w:rsid w:val="00696FDA"/>
    <w:rsid w:val="0069796F"/>
    <w:rsid w:val="006A04CF"/>
    <w:rsid w:val="006A055D"/>
    <w:rsid w:val="006A47C9"/>
    <w:rsid w:val="006A53DE"/>
    <w:rsid w:val="006A7D79"/>
    <w:rsid w:val="006B0C19"/>
    <w:rsid w:val="006B150A"/>
    <w:rsid w:val="006B1D82"/>
    <w:rsid w:val="006B3ADA"/>
    <w:rsid w:val="006B3CF6"/>
    <w:rsid w:val="006B564E"/>
    <w:rsid w:val="006B6B17"/>
    <w:rsid w:val="006C2935"/>
    <w:rsid w:val="006C3CC7"/>
    <w:rsid w:val="006C441A"/>
    <w:rsid w:val="006D1E5B"/>
    <w:rsid w:val="006D39B5"/>
    <w:rsid w:val="006D3AEB"/>
    <w:rsid w:val="006D46B3"/>
    <w:rsid w:val="006D626D"/>
    <w:rsid w:val="006E2C7F"/>
    <w:rsid w:val="006E5478"/>
    <w:rsid w:val="006E6FAF"/>
    <w:rsid w:val="006E7FE4"/>
    <w:rsid w:val="006F0DBC"/>
    <w:rsid w:val="006F3256"/>
    <w:rsid w:val="006F4A5C"/>
    <w:rsid w:val="006F7E00"/>
    <w:rsid w:val="00700605"/>
    <w:rsid w:val="00701DA7"/>
    <w:rsid w:val="00702547"/>
    <w:rsid w:val="0070402F"/>
    <w:rsid w:val="007064F4"/>
    <w:rsid w:val="00711532"/>
    <w:rsid w:val="00713A90"/>
    <w:rsid w:val="007142B3"/>
    <w:rsid w:val="00721A87"/>
    <w:rsid w:val="007228C4"/>
    <w:rsid w:val="00722D08"/>
    <w:rsid w:val="0072411B"/>
    <w:rsid w:val="00725CD4"/>
    <w:rsid w:val="007311CB"/>
    <w:rsid w:val="00731260"/>
    <w:rsid w:val="00737483"/>
    <w:rsid w:val="0074140A"/>
    <w:rsid w:val="00741D90"/>
    <w:rsid w:val="007452E0"/>
    <w:rsid w:val="007462DB"/>
    <w:rsid w:val="00747697"/>
    <w:rsid w:val="00747CF2"/>
    <w:rsid w:val="007519E7"/>
    <w:rsid w:val="00751DFC"/>
    <w:rsid w:val="00753F87"/>
    <w:rsid w:val="00754238"/>
    <w:rsid w:val="00756610"/>
    <w:rsid w:val="00763BD8"/>
    <w:rsid w:val="00764537"/>
    <w:rsid w:val="007647B3"/>
    <w:rsid w:val="00765ADB"/>
    <w:rsid w:val="00770622"/>
    <w:rsid w:val="00771E90"/>
    <w:rsid w:val="00774F13"/>
    <w:rsid w:val="00776062"/>
    <w:rsid w:val="00777A01"/>
    <w:rsid w:val="00777F10"/>
    <w:rsid w:val="00780344"/>
    <w:rsid w:val="00784037"/>
    <w:rsid w:val="00784BA5"/>
    <w:rsid w:val="007878A5"/>
    <w:rsid w:val="007915A2"/>
    <w:rsid w:val="0079176F"/>
    <w:rsid w:val="00791778"/>
    <w:rsid w:val="00794AEE"/>
    <w:rsid w:val="0079623B"/>
    <w:rsid w:val="00797218"/>
    <w:rsid w:val="00797AF1"/>
    <w:rsid w:val="007A132E"/>
    <w:rsid w:val="007A1D6A"/>
    <w:rsid w:val="007A25AD"/>
    <w:rsid w:val="007A47E9"/>
    <w:rsid w:val="007A4B6D"/>
    <w:rsid w:val="007A663C"/>
    <w:rsid w:val="007B06F3"/>
    <w:rsid w:val="007B0DB0"/>
    <w:rsid w:val="007B509A"/>
    <w:rsid w:val="007B679C"/>
    <w:rsid w:val="007C07AA"/>
    <w:rsid w:val="007C0F41"/>
    <w:rsid w:val="007C2B04"/>
    <w:rsid w:val="007C39A1"/>
    <w:rsid w:val="007C3D7C"/>
    <w:rsid w:val="007C3EAB"/>
    <w:rsid w:val="007C4330"/>
    <w:rsid w:val="007C5625"/>
    <w:rsid w:val="007C598C"/>
    <w:rsid w:val="007C59F1"/>
    <w:rsid w:val="007C5A0D"/>
    <w:rsid w:val="007C7211"/>
    <w:rsid w:val="007D00F3"/>
    <w:rsid w:val="007D37FD"/>
    <w:rsid w:val="007D5A57"/>
    <w:rsid w:val="007D6709"/>
    <w:rsid w:val="007D7BB1"/>
    <w:rsid w:val="007E57CE"/>
    <w:rsid w:val="007E5B53"/>
    <w:rsid w:val="007E5D9A"/>
    <w:rsid w:val="007F283C"/>
    <w:rsid w:val="007F3129"/>
    <w:rsid w:val="007F39D9"/>
    <w:rsid w:val="007F4908"/>
    <w:rsid w:val="007F63C8"/>
    <w:rsid w:val="00800724"/>
    <w:rsid w:val="0080136B"/>
    <w:rsid w:val="00801C63"/>
    <w:rsid w:val="00803029"/>
    <w:rsid w:val="00803E97"/>
    <w:rsid w:val="00810321"/>
    <w:rsid w:val="00810C16"/>
    <w:rsid w:val="008128DD"/>
    <w:rsid w:val="008134D9"/>
    <w:rsid w:val="0081369A"/>
    <w:rsid w:val="00821BDF"/>
    <w:rsid w:val="008225E4"/>
    <w:rsid w:val="00823146"/>
    <w:rsid w:val="00825CE5"/>
    <w:rsid w:val="00827A24"/>
    <w:rsid w:val="00830784"/>
    <w:rsid w:val="00831264"/>
    <w:rsid w:val="0083269A"/>
    <w:rsid w:val="00834314"/>
    <w:rsid w:val="00836626"/>
    <w:rsid w:val="00836C35"/>
    <w:rsid w:val="00842A89"/>
    <w:rsid w:val="00842DD3"/>
    <w:rsid w:val="008440BA"/>
    <w:rsid w:val="0084473D"/>
    <w:rsid w:val="00844C7A"/>
    <w:rsid w:val="0084586D"/>
    <w:rsid w:val="00846F5B"/>
    <w:rsid w:val="00847670"/>
    <w:rsid w:val="00847F23"/>
    <w:rsid w:val="0085411A"/>
    <w:rsid w:val="00856F7B"/>
    <w:rsid w:val="0085752B"/>
    <w:rsid w:val="00860884"/>
    <w:rsid w:val="008619E3"/>
    <w:rsid w:val="00865074"/>
    <w:rsid w:val="00865FD6"/>
    <w:rsid w:val="00866FFF"/>
    <w:rsid w:val="008679C8"/>
    <w:rsid w:val="00867B36"/>
    <w:rsid w:val="00872369"/>
    <w:rsid w:val="0087337E"/>
    <w:rsid w:val="00874889"/>
    <w:rsid w:val="00875EB7"/>
    <w:rsid w:val="00876CFD"/>
    <w:rsid w:val="00880589"/>
    <w:rsid w:val="00880657"/>
    <w:rsid w:val="00881ECA"/>
    <w:rsid w:val="00882335"/>
    <w:rsid w:val="00882541"/>
    <w:rsid w:val="00883818"/>
    <w:rsid w:val="00885172"/>
    <w:rsid w:val="008914C0"/>
    <w:rsid w:val="00892355"/>
    <w:rsid w:val="0089393D"/>
    <w:rsid w:val="0089396F"/>
    <w:rsid w:val="00894DC4"/>
    <w:rsid w:val="00894DCD"/>
    <w:rsid w:val="008959DF"/>
    <w:rsid w:val="00895CF0"/>
    <w:rsid w:val="008A06FF"/>
    <w:rsid w:val="008A0FD8"/>
    <w:rsid w:val="008A1384"/>
    <w:rsid w:val="008A1541"/>
    <w:rsid w:val="008A1546"/>
    <w:rsid w:val="008A2941"/>
    <w:rsid w:val="008A2BD2"/>
    <w:rsid w:val="008A2BF5"/>
    <w:rsid w:val="008A2E57"/>
    <w:rsid w:val="008A550E"/>
    <w:rsid w:val="008A5A2C"/>
    <w:rsid w:val="008A5AD1"/>
    <w:rsid w:val="008A6EF4"/>
    <w:rsid w:val="008A6F83"/>
    <w:rsid w:val="008B1E1C"/>
    <w:rsid w:val="008B207A"/>
    <w:rsid w:val="008B5102"/>
    <w:rsid w:val="008B5969"/>
    <w:rsid w:val="008B5A4C"/>
    <w:rsid w:val="008B5BAC"/>
    <w:rsid w:val="008B604A"/>
    <w:rsid w:val="008B776F"/>
    <w:rsid w:val="008C291F"/>
    <w:rsid w:val="008C2BCB"/>
    <w:rsid w:val="008C46DA"/>
    <w:rsid w:val="008C5762"/>
    <w:rsid w:val="008C5C89"/>
    <w:rsid w:val="008C708A"/>
    <w:rsid w:val="008C7E9D"/>
    <w:rsid w:val="008D4C62"/>
    <w:rsid w:val="008E26AA"/>
    <w:rsid w:val="008E2DA9"/>
    <w:rsid w:val="008E346C"/>
    <w:rsid w:val="008E34FA"/>
    <w:rsid w:val="008E635B"/>
    <w:rsid w:val="008F06CB"/>
    <w:rsid w:val="008F24AB"/>
    <w:rsid w:val="008F271F"/>
    <w:rsid w:val="008F3B4C"/>
    <w:rsid w:val="008F62CA"/>
    <w:rsid w:val="008F666B"/>
    <w:rsid w:val="008F6E9D"/>
    <w:rsid w:val="008F732C"/>
    <w:rsid w:val="008F79E5"/>
    <w:rsid w:val="008F7C7D"/>
    <w:rsid w:val="008F7E37"/>
    <w:rsid w:val="00900184"/>
    <w:rsid w:val="009010D6"/>
    <w:rsid w:val="009014EA"/>
    <w:rsid w:val="00903FBF"/>
    <w:rsid w:val="009048D7"/>
    <w:rsid w:val="00905A04"/>
    <w:rsid w:val="00906F74"/>
    <w:rsid w:val="009072FB"/>
    <w:rsid w:val="00910914"/>
    <w:rsid w:val="00911AF0"/>
    <w:rsid w:val="00911C27"/>
    <w:rsid w:val="00913361"/>
    <w:rsid w:val="009142EB"/>
    <w:rsid w:val="00915B77"/>
    <w:rsid w:val="00916CD2"/>
    <w:rsid w:val="00917E7D"/>
    <w:rsid w:val="009226AB"/>
    <w:rsid w:val="009244A0"/>
    <w:rsid w:val="00926C0F"/>
    <w:rsid w:val="009300E2"/>
    <w:rsid w:val="009300E8"/>
    <w:rsid w:val="0093138E"/>
    <w:rsid w:val="009329A3"/>
    <w:rsid w:val="00936B8A"/>
    <w:rsid w:val="009370D1"/>
    <w:rsid w:val="0093725A"/>
    <w:rsid w:val="0093796E"/>
    <w:rsid w:val="009429AB"/>
    <w:rsid w:val="00943731"/>
    <w:rsid w:val="0094437C"/>
    <w:rsid w:val="009462A6"/>
    <w:rsid w:val="0095014E"/>
    <w:rsid w:val="00950D4F"/>
    <w:rsid w:val="00950EED"/>
    <w:rsid w:val="009526A2"/>
    <w:rsid w:val="00953F59"/>
    <w:rsid w:val="0095479A"/>
    <w:rsid w:val="0095588F"/>
    <w:rsid w:val="00955B08"/>
    <w:rsid w:val="009567AF"/>
    <w:rsid w:val="00961DEB"/>
    <w:rsid w:val="009636BB"/>
    <w:rsid w:val="009641A2"/>
    <w:rsid w:val="00964D6C"/>
    <w:rsid w:val="009652CB"/>
    <w:rsid w:val="009655E4"/>
    <w:rsid w:val="00965EFD"/>
    <w:rsid w:val="009663B9"/>
    <w:rsid w:val="00966708"/>
    <w:rsid w:val="009708C5"/>
    <w:rsid w:val="00971CCA"/>
    <w:rsid w:val="00974FB9"/>
    <w:rsid w:val="0097528E"/>
    <w:rsid w:val="009757CE"/>
    <w:rsid w:val="009778A1"/>
    <w:rsid w:val="009779FA"/>
    <w:rsid w:val="009822FA"/>
    <w:rsid w:val="009825F3"/>
    <w:rsid w:val="00985AF4"/>
    <w:rsid w:val="009878E5"/>
    <w:rsid w:val="00990388"/>
    <w:rsid w:val="00990598"/>
    <w:rsid w:val="0099252B"/>
    <w:rsid w:val="009949CA"/>
    <w:rsid w:val="009A1B50"/>
    <w:rsid w:val="009A3A78"/>
    <w:rsid w:val="009B0C40"/>
    <w:rsid w:val="009B2747"/>
    <w:rsid w:val="009B3E09"/>
    <w:rsid w:val="009B5F3A"/>
    <w:rsid w:val="009C17C3"/>
    <w:rsid w:val="009C1F53"/>
    <w:rsid w:val="009C20CF"/>
    <w:rsid w:val="009C20F4"/>
    <w:rsid w:val="009C28DA"/>
    <w:rsid w:val="009C2D91"/>
    <w:rsid w:val="009C7799"/>
    <w:rsid w:val="009D25EF"/>
    <w:rsid w:val="009D3970"/>
    <w:rsid w:val="009D4BFF"/>
    <w:rsid w:val="009D52B8"/>
    <w:rsid w:val="009D54AB"/>
    <w:rsid w:val="009D70F8"/>
    <w:rsid w:val="009D7EEB"/>
    <w:rsid w:val="009E104B"/>
    <w:rsid w:val="009E10A3"/>
    <w:rsid w:val="009E2DA3"/>
    <w:rsid w:val="009E411C"/>
    <w:rsid w:val="009F25F1"/>
    <w:rsid w:val="009F45A6"/>
    <w:rsid w:val="009F4F46"/>
    <w:rsid w:val="009F52D9"/>
    <w:rsid w:val="009F7404"/>
    <w:rsid w:val="00A03EB0"/>
    <w:rsid w:val="00A07D63"/>
    <w:rsid w:val="00A109E5"/>
    <w:rsid w:val="00A142CF"/>
    <w:rsid w:val="00A15DA1"/>
    <w:rsid w:val="00A15DD3"/>
    <w:rsid w:val="00A16B12"/>
    <w:rsid w:val="00A237C3"/>
    <w:rsid w:val="00A301ED"/>
    <w:rsid w:val="00A3065C"/>
    <w:rsid w:val="00A31811"/>
    <w:rsid w:val="00A31BF8"/>
    <w:rsid w:val="00A32980"/>
    <w:rsid w:val="00A34799"/>
    <w:rsid w:val="00A34914"/>
    <w:rsid w:val="00A40FD3"/>
    <w:rsid w:val="00A452AA"/>
    <w:rsid w:val="00A454C4"/>
    <w:rsid w:val="00A45F00"/>
    <w:rsid w:val="00A46043"/>
    <w:rsid w:val="00A51DFF"/>
    <w:rsid w:val="00A534AE"/>
    <w:rsid w:val="00A5699F"/>
    <w:rsid w:val="00A56D04"/>
    <w:rsid w:val="00A623BC"/>
    <w:rsid w:val="00A6389F"/>
    <w:rsid w:val="00A64FE7"/>
    <w:rsid w:val="00A66035"/>
    <w:rsid w:val="00A70635"/>
    <w:rsid w:val="00A70DA8"/>
    <w:rsid w:val="00A72624"/>
    <w:rsid w:val="00A74796"/>
    <w:rsid w:val="00A74F08"/>
    <w:rsid w:val="00A763F7"/>
    <w:rsid w:val="00A776DC"/>
    <w:rsid w:val="00A80AA3"/>
    <w:rsid w:val="00A8373E"/>
    <w:rsid w:val="00A84A31"/>
    <w:rsid w:val="00A853A1"/>
    <w:rsid w:val="00A85D63"/>
    <w:rsid w:val="00A872F3"/>
    <w:rsid w:val="00A90571"/>
    <w:rsid w:val="00A90B1D"/>
    <w:rsid w:val="00A925A1"/>
    <w:rsid w:val="00A9368A"/>
    <w:rsid w:val="00A9455B"/>
    <w:rsid w:val="00A94AD1"/>
    <w:rsid w:val="00A94DEB"/>
    <w:rsid w:val="00A9580D"/>
    <w:rsid w:val="00A960DD"/>
    <w:rsid w:val="00A96817"/>
    <w:rsid w:val="00AA3518"/>
    <w:rsid w:val="00AA4B30"/>
    <w:rsid w:val="00AB3317"/>
    <w:rsid w:val="00AC057C"/>
    <w:rsid w:val="00AC071C"/>
    <w:rsid w:val="00AC1354"/>
    <w:rsid w:val="00AC1878"/>
    <w:rsid w:val="00AC1C92"/>
    <w:rsid w:val="00AC36A0"/>
    <w:rsid w:val="00AC51D0"/>
    <w:rsid w:val="00AC5931"/>
    <w:rsid w:val="00AD0518"/>
    <w:rsid w:val="00AD05C6"/>
    <w:rsid w:val="00AD1E16"/>
    <w:rsid w:val="00AD1E58"/>
    <w:rsid w:val="00AD2DA3"/>
    <w:rsid w:val="00AD3547"/>
    <w:rsid w:val="00AD4456"/>
    <w:rsid w:val="00AE1FDA"/>
    <w:rsid w:val="00AE4A8B"/>
    <w:rsid w:val="00AF11CB"/>
    <w:rsid w:val="00AF33E7"/>
    <w:rsid w:val="00AF3C0D"/>
    <w:rsid w:val="00AF3D53"/>
    <w:rsid w:val="00AF4082"/>
    <w:rsid w:val="00AF5144"/>
    <w:rsid w:val="00AF5A4E"/>
    <w:rsid w:val="00AF7B40"/>
    <w:rsid w:val="00B01F16"/>
    <w:rsid w:val="00B02CB7"/>
    <w:rsid w:val="00B0344F"/>
    <w:rsid w:val="00B047D0"/>
    <w:rsid w:val="00B0484A"/>
    <w:rsid w:val="00B102E0"/>
    <w:rsid w:val="00B10D4A"/>
    <w:rsid w:val="00B111EC"/>
    <w:rsid w:val="00B17F60"/>
    <w:rsid w:val="00B21453"/>
    <w:rsid w:val="00B220C6"/>
    <w:rsid w:val="00B265C2"/>
    <w:rsid w:val="00B27582"/>
    <w:rsid w:val="00B278A2"/>
    <w:rsid w:val="00B309AC"/>
    <w:rsid w:val="00B3230D"/>
    <w:rsid w:val="00B41033"/>
    <w:rsid w:val="00B429DB"/>
    <w:rsid w:val="00B42A1F"/>
    <w:rsid w:val="00B433B0"/>
    <w:rsid w:val="00B4472A"/>
    <w:rsid w:val="00B45EC7"/>
    <w:rsid w:val="00B45F14"/>
    <w:rsid w:val="00B46F1F"/>
    <w:rsid w:val="00B47367"/>
    <w:rsid w:val="00B52AF7"/>
    <w:rsid w:val="00B535A2"/>
    <w:rsid w:val="00B55E13"/>
    <w:rsid w:val="00B61DCE"/>
    <w:rsid w:val="00B65370"/>
    <w:rsid w:val="00B65478"/>
    <w:rsid w:val="00B66398"/>
    <w:rsid w:val="00B66AA8"/>
    <w:rsid w:val="00B7112C"/>
    <w:rsid w:val="00B72232"/>
    <w:rsid w:val="00B73885"/>
    <w:rsid w:val="00B814B0"/>
    <w:rsid w:val="00B81F0A"/>
    <w:rsid w:val="00B83107"/>
    <w:rsid w:val="00B84206"/>
    <w:rsid w:val="00B84EDC"/>
    <w:rsid w:val="00B8671F"/>
    <w:rsid w:val="00B927D3"/>
    <w:rsid w:val="00B9490D"/>
    <w:rsid w:val="00B9492C"/>
    <w:rsid w:val="00B94B01"/>
    <w:rsid w:val="00BA03A0"/>
    <w:rsid w:val="00BA0B1E"/>
    <w:rsid w:val="00BA0EC1"/>
    <w:rsid w:val="00BA1079"/>
    <w:rsid w:val="00BA14A8"/>
    <w:rsid w:val="00BA1690"/>
    <w:rsid w:val="00BA4A20"/>
    <w:rsid w:val="00BA4B7B"/>
    <w:rsid w:val="00BA600A"/>
    <w:rsid w:val="00BA7FD3"/>
    <w:rsid w:val="00BB158A"/>
    <w:rsid w:val="00BB4420"/>
    <w:rsid w:val="00BB48D6"/>
    <w:rsid w:val="00BB7D19"/>
    <w:rsid w:val="00BC0A20"/>
    <w:rsid w:val="00BC11CB"/>
    <w:rsid w:val="00BC3579"/>
    <w:rsid w:val="00BC5E4A"/>
    <w:rsid w:val="00BC6815"/>
    <w:rsid w:val="00BC6F54"/>
    <w:rsid w:val="00BC7786"/>
    <w:rsid w:val="00BC7D53"/>
    <w:rsid w:val="00BD0496"/>
    <w:rsid w:val="00BD0F55"/>
    <w:rsid w:val="00BD1AC4"/>
    <w:rsid w:val="00BD3A91"/>
    <w:rsid w:val="00BD4D45"/>
    <w:rsid w:val="00BD52CB"/>
    <w:rsid w:val="00BE0BDA"/>
    <w:rsid w:val="00BE1502"/>
    <w:rsid w:val="00BE2965"/>
    <w:rsid w:val="00BE5198"/>
    <w:rsid w:val="00BE58A0"/>
    <w:rsid w:val="00BE68A8"/>
    <w:rsid w:val="00BF1FC5"/>
    <w:rsid w:val="00BF229E"/>
    <w:rsid w:val="00BF22CF"/>
    <w:rsid w:val="00BF4D90"/>
    <w:rsid w:val="00C05212"/>
    <w:rsid w:val="00C06022"/>
    <w:rsid w:val="00C0640B"/>
    <w:rsid w:val="00C06D99"/>
    <w:rsid w:val="00C1076B"/>
    <w:rsid w:val="00C10B39"/>
    <w:rsid w:val="00C10C86"/>
    <w:rsid w:val="00C153A6"/>
    <w:rsid w:val="00C166A8"/>
    <w:rsid w:val="00C16744"/>
    <w:rsid w:val="00C207A3"/>
    <w:rsid w:val="00C235C8"/>
    <w:rsid w:val="00C25AD5"/>
    <w:rsid w:val="00C26B73"/>
    <w:rsid w:val="00C30CF4"/>
    <w:rsid w:val="00C34657"/>
    <w:rsid w:val="00C35C0E"/>
    <w:rsid w:val="00C4168C"/>
    <w:rsid w:val="00C4341C"/>
    <w:rsid w:val="00C44DEE"/>
    <w:rsid w:val="00C44E7A"/>
    <w:rsid w:val="00C4594D"/>
    <w:rsid w:val="00C47505"/>
    <w:rsid w:val="00C47877"/>
    <w:rsid w:val="00C52ACC"/>
    <w:rsid w:val="00C52BA0"/>
    <w:rsid w:val="00C52FF4"/>
    <w:rsid w:val="00C5339A"/>
    <w:rsid w:val="00C54A5F"/>
    <w:rsid w:val="00C54B2C"/>
    <w:rsid w:val="00C55F1D"/>
    <w:rsid w:val="00C574FF"/>
    <w:rsid w:val="00C6299C"/>
    <w:rsid w:val="00C63167"/>
    <w:rsid w:val="00C634FC"/>
    <w:rsid w:val="00C64B56"/>
    <w:rsid w:val="00C67594"/>
    <w:rsid w:val="00C72709"/>
    <w:rsid w:val="00C72978"/>
    <w:rsid w:val="00C73C61"/>
    <w:rsid w:val="00C74C04"/>
    <w:rsid w:val="00C76357"/>
    <w:rsid w:val="00C77979"/>
    <w:rsid w:val="00C77E07"/>
    <w:rsid w:val="00C81873"/>
    <w:rsid w:val="00C81A20"/>
    <w:rsid w:val="00C82712"/>
    <w:rsid w:val="00C82D3E"/>
    <w:rsid w:val="00C84B26"/>
    <w:rsid w:val="00C8580E"/>
    <w:rsid w:val="00C87840"/>
    <w:rsid w:val="00C93D92"/>
    <w:rsid w:val="00C94DD6"/>
    <w:rsid w:val="00CA40D3"/>
    <w:rsid w:val="00CB2746"/>
    <w:rsid w:val="00CB2E27"/>
    <w:rsid w:val="00CB5D3E"/>
    <w:rsid w:val="00CB69A1"/>
    <w:rsid w:val="00CC44DE"/>
    <w:rsid w:val="00CC5C7F"/>
    <w:rsid w:val="00CC5F29"/>
    <w:rsid w:val="00CC6BCC"/>
    <w:rsid w:val="00CD2F88"/>
    <w:rsid w:val="00CD36B7"/>
    <w:rsid w:val="00CD45E3"/>
    <w:rsid w:val="00CD4C68"/>
    <w:rsid w:val="00CD5DA1"/>
    <w:rsid w:val="00CE3A21"/>
    <w:rsid w:val="00CE4496"/>
    <w:rsid w:val="00CE47A2"/>
    <w:rsid w:val="00CE4F05"/>
    <w:rsid w:val="00CE59A1"/>
    <w:rsid w:val="00CE76DE"/>
    <w:rsid w:val="00CE7B3C"/>
    <w:rsid w:val="00CF0A2C"/>
    <w:rsid w:val="00CF1317"/>
    <w:rsid w:val="00CF139B"/>
    <w:rsid w:val="00CF2FDC"/>
    <w:rsid w:val="00CF7E42"/>
    <w:rsid w:val="00D008C7"/>
    <w:rsid w:val="00D00A84"/>
    <w:rsid w:val="00D02029"/>
    <w:rsid w:val="00D025AA"/>
    <w:rsid w:val="00D040CF"/>
    <w:rsid w:val="00D06BAA"/>
    <w:rsid w:val="00D07018"/>
    <w:rsid w:val="00D11CCF"/>
    <w:rsid w:val="00D15DFE"/>
    <w:rsid w:val="00D203A4"/>
    <w:rsid w:val="00D22273"/>
    <w:rsid w:val="00D22825"/>
    <w:rsid w:val="00D24CFD"/>
    <w:rsid w:val="00D27448"/>
    <w:rsid w:val="00D27EC5"/>
    <w:rsid w:val="00D30DF9"/>
    <w:rsid w:val="00D315AF"/>
    <w:rsid w:val="00D326B2"/>
    <w:rsid w:val="00D32989"/>
    <w:rsid w:val="00D34520"/>
    <w:rsid w:val="00D34813"/>
    <w:rsid w:val="00D35057"/>
    <w:rsid w:val="00D36C4F"/>
    <w:rsid w:val="00D3791F"/>
    <w:rsid w:val="00D41A7D"/>
    <w:rsid w:val="00D41EF6"/>
    <w:rsid w:val="00D436A8"/>
    <w:rsid w:val="00D4702A"/>
    <w:rsid w:val="00D50A9E"/>
    <w:rsid w:val="00D50E11"/>
    <w:rsid w:val="00D525C6"/>
    <w:rsid w:val="00D536DE"/>
    <w:rsid w:val="00D5474F"/>
    <w:rsid w:val="00D548BC"/>
    <w:rsid w:val="00D548DF"/>
    <w:rsid w:val="00D57301"/>
    <w:rsid w:val="00D57932"/>
    <w:rsid w:val="00D62C61"/>
    <w:rsid w:val="00D64688"/>
    <w:rsid w:val="00D6564D"/>
    <w:rsid w:val="00D65B8C"/>
    <w:rsid w:val="00D72508"/>
    <w:rsid w:val="00D72C95"/>
    <w:rsid w:val="00D748F2"/>
    <w:rsid w:val="00D8106C"/>
    <w:rsid w:val="00D812B1"/>
    <w:rsid w:val="00D82F3C"/>
    <w:rsid w:val="00D8748A"/>
    <w:rsid w:val="00D90BF5"/>
    <w:rsid w:val="00D91C5B"/>
    <w:rsid w:val="00D97094"/>
    <w:rsid w:val="00DA0185"/>
    <w:rsid w:val="00DA23AB"/>
    <w:rsid w:val="00DA2D1F"/>
    <w:rsid w:val="00DA4A10"/>
    <w:rsid w:val="00DA604E"/>
    <w:rsid w:val="00DA6A73"/>
    <w:rsid w:val="00DA76B7"/>
    <w:rsid w:val="00DA7DE8"/>
    <w:rsid w:val="00DB03C3"/>
    <w:rsid w:val="00DB18EA"/>
    <w:rsid w:val="00DB2B30"/>
    <w:rsid w:val="00DB40CA"/>
    <w:rsid w:val="00DB44F2"/>
    <w:rsid w:val="00DB5920"/>
    <w:rsid w:val="00DB6F59"/>
    <w:rsid w:val="00DC0662"/>
    <w:rsid w:val="00DC2C5B"/>
    <w:rsid w:val="00DC2E8B"/>
    <w:rsid w:val="00DC435E"/>
    <w:rsid w:val="00DC5ACE"/>
    <w:rsid w:val="00DC6B40"/>
    <w:rsid w:val="00DC7ABC"/>
    <w:rsid w:val="00DD00FF"/>
    <w:rsid w:val="00DD2049"/>
    <w:rsid w:val="00DD209F"/>
    <w:rsid w:val="00DD2318"/>
    <w:rsid w:val="00DE12D4"/>
    <w:rsid w:val="00DE2949"/>
    <w:rsid w:val="00DE7F94"/>
    <w:rsid w:val="00DF04D3"/>
    <w:rsid w:val="00DF0CA6"/>
    <w:rsid w:val="00DF1327"/>
    <w:rsid w:val="00DF2631"/>
    <w:rsid w:val="00DF27CF"/>
    <w:rsid w:val="00DF349C"/>
    <w:rsid w:val="00DF3D28"/>
    <w:rsid w:val="00DF6904"/>
    <w:rsid w:val="00E01147"/>
    <w:rsid w:val="00E012DC"/>
    <w:rsid w:val="00E022E4"/>
    <w:rsid w:val="00E02E8C"/>
    <w:rsid w:val="00E04018"/>
    <w:rsid w:val="00E04BC7"/>
    <w:rsid w:val="00E079D3"/>
    <w:rsid w:val="00E10C8B"/>
    <w:rsid w:val="00E12C16"/>
    <w:rsid w:val="00E15F08"/>
    <w:rsid w:val="00E2028F"/>
    <w:rsid w:val="00E20948"/>
    <w:rsid w:val="00E20E54"/>
    <w:rsid w:val="00E23381"/>
    <w:rsid w:val="00E25AF6"/>
    <w:rsid w:val="00E26E8D"/>
    <w:rsid w:val="00E31033"/>
    <w:rsid w:val="00E31044"/>
    <w:rsid w:val="00E32AE8"/>
    <w:rsid w:val="00E32D5E"/>
    <w:rsid w:val="00E342A6"/>
    <w:rsid w:val="00E34AD8"/>
    <w:rsid w:val="00E3504C"/>
    <w:rsid w:val="00E352FB"/>
    <w:rsid w:val="00E35539"/>
    <w:rsid w:val="00E37B80"/>
    <w:rsid w:val="00E40BCC"/>
    <w:rsid w:val="00E431B2"/>
    <w:rsid w:val="00E431CB"/>
    <w:rsid w:val="00E43511"/>
    <w:rsid w:val="00E47616"/>
    <w:rsid w:val="00E512E7"/>
    <w:rsid w:val="00E526C5"/>
    <w:rsid w:val="00E52C1E"/>
    <w:rsid w:val="00E5360B"/>
    <w:rsid w:val="00E536CF"/>
    <w:rsid w:val="00E55B68"/>
    <w:rsid w:val="00E57A00"/>
    <w:rsid w:val="00E6187E"/>
    <w:rsid w:val="00E66154"/>
    <w:rsid w:val="00E66C2F"/>
    <w:rsid w:val="00E674AF"/>
    <w:rsid w:val="00E67B82"/>
    <w:rsid w:val="00E67C97"/>
    <w:rsid w:val="00E7209D"/>
    <w:rsid w:val="00E721E9"/>
    <w:rsid w:val="00E72BDC"/>
    <w:rsid w:val="00E73119"/>
    <w:rsid w:val="00E74B84"/>
    <w:rsid w:val="00E81B29"/>
    <w:rsid w:val="00E8202D"/>
    <w:rsid w:val="00E85104"/>
    <w:rsid w:val="00E85B75"/>
    <w:rsid w:val="00E8654E"/>
    <w:rsid w:val="00E877F3"/>
    <w:rsid w:val="00E90A28"/>
    <w:rsid w:val="00E9322B"/>
    <w:rsid w:val="00E935A8"/>
    <w:rsid w:val="00E936E0"/>
    <w:rsid w:val="00E939F3"/>
    <w:rsid w:val="00E93A12"/>
    <w:rsid w:val="00E958C6"/>
    <w:rsid w:val="00E97A2E"/>
    <w:rsid w:val="00E97BB6"/>
    <w:rsid w:val="00EA26D1"/>
    <w:rsid w:val="00EA3AF8"/>
    <w:rsid w:val="00EA59FD"/>
    <w:rsid w:val="00EA70EB"/>
    <w:rsid w:val="00EA7873"/>
    <w:rsid w:val="00EB01E4"/>
    <w:rsid w:val="00EB0D4F"/>
    <w:rsid w:val="00EB0F22"/>
    <w:rsid w:val="00EB2D40"/>
    <w:rsid w:val="00EB3C04"/>
    <w:rsid w:val="00EB4864"/>
    <w:rsid w:val="00EB6E84"/>
    <w:rsid w:val="00EB7943"/>
    <w:rsid w:val="00EB7EB9"/>
    <w:rsid w:val="00EC0C36"/>
    <w:rsid w:val="00EC1161"/>
    <w:rsid w:val="00EC2950"/>
    <w:rsid w:val="00EC6C02"/>
    <w:rsid w:val="00ED0C19"/>
    <w:rsid w:val="00ED1795"/>
    <w:rsid w:val="00ED194E"/>
    <w:rsid w:val="00ED1A16"/>
    <w:rsid w:val="00ED2B2C"/>
    <w:rsid w:val="00ED4FE8"/>
    <w:rsid w:val="00ED79F0"/>
    <w:rsid w:val="00EE17F3"/>
    <w:rsid w:val="00EE249C"/>
    <w:rsid w:val="00EE3B00"/>
    <w:rsid w:val="00EE53E5"/>
    <w:rsid w:val="00EE61E7"/>
    <w:rsid w:val="00EE724E"/>
    <w:rsid w:val="00EF2799"/>
    <w:rsid w:val="00EF31A9"/>
    <w:rsid w:val="00EF3ADB"/>
    <w:rsid w:val="00EF4781"/>
    <w:rsid w:val="00EF4AF5"/>
    <w:rsid w:val="00EF672B"/>
    <w:rsid w:val="00EF6AB4"/>
    <w:rsid w:val="00F025F8"/>
    <w:rsid w:val="00F028DE"/>
    <w:rsid w:val="00F0353C"/>
    <w:rsid w:val="00F060A2"/>
    <w:rsid w:val="00F11766"/>
    <w:rsid w:val="00F121A8"/>
    <w:rsid w:val="00F131BC"/>
    <w:rsid w:val="00F13B0F"/>
    <w:rsid w:val="00F1636A"/>
    <w:rsid w:val="00F168CD"/>
    <w:rsid w:val="00F17254"/>
    <w:rsid w:val="00F20DBA"/>
    <w:rsid w:val="00F26EFD"/>
    <w:rsid w:val="00F2715C"/>
    <w:rsid w:val="00F30E3C"/>
    <w:rsid w:val="00F33D94"/>
    <w:rsid w:val="00F3503D"/>
    <w:rsid w:val="00F3552C"/>
    <w:rsid w:val="00F3559A"/>
    <w:rsid w:val="00F366B8"/>
    <w:rsid w:val="00F43C56"/>
    <w:rsid w:val="00F52C39"/>
    <w:rsid w:val="00F555C9"/>
    <w:rsid w:val="00F57A58"/>
    <w:rsid w:val="00F6018F"/>
    <w:rsid w:val="00F60CE1"/>
    <w:rsid w:val="00F61288"/>
    <w:rsid w:val="00F61D89"/>
    <w:rsid w:val="00F6718D"/>
    <w:rsid w:val="00F6741D"/>
    <w:rsid w:val="00F75154"/>
    <w:rsid w:val="00F7683E"/>
    <w:rsid w:val="00F76F75"/>
    <w:rsid w:val="00F82329"/>
    <w:rsid w:val="00F82BD8"/>
    <w:rsid w:val="00F85104"/>
    <w:rsid w:val="00F85FBE"/>
    <w:rsid w:val="00F8748D"/>
    <w:rsid w:val="00F87551"/>
    <w:rsid w:val="00F90051"/>
    <w:rsid w:val="00F90B86"/>
    <w:rsid w:val="00F91809"/>
    <w:rsid w:val="00F921BA"/>
    <w:rsid w:val="00F92DC6"/>
    <w:rsid w:val="00F949BF"/>
    <w:rsid w:val="00F961BF"/>
    <w:rsid w:val="00F967D3"/>
    <w:rsid w:val="00FA1116"/>
    <w:rsid w:val="00FA6499"/>
    <w:rsid w:val="00FA7999"/>
    <w:rsid w:val="00FB2209"/>
    <w:rsid w:val="00FB3D94"/>
    <w:rsid w:val="00FB45ED"/>
    <w:rsid w:val="00FB7EA8"/>
    <w:rsid w:val="00FB7F81"/>
    <w:rsid w:val="00FC0781"/>
    <w:rsid w:val="00FC28E7"/>
    <w:rsid w:val="00FC34E7"/>
    <w:rsid w:val="00FD45D5"/>
    <w:rsid w:val="00FD718B"/>
    <w:rsid w:val="00FD7698"/>
    <w:rsid w:val="00FE01A3"/>
    <w:rsid w:val="00FE0885"/>
    <w:rsid w:val="00FE0ADB"/>
    <w:rsid w:val="00FE1239"/>
    <w:rsid w:val="00FE18DB"/>
    <w:rsid w:val="00FE24D2"/>
    <w:rsid w:val="00FE33CD"/>
    <w:rsid w:val="00FE4AAB"/>
    <w:rsid w:val="00FE537F"/>
    <w:rsid w:val="00FE62A9"/>
    <w:rsid w:val="00FE77D9"/>
    <w:rsid w:val="00FF0BEA"/>
    <w:rsid w:val="00FF771B"/>
    <w:rsid w:val="1AE1135E"/>
    <w:rsid w:val="2DF611C9"/>
    <w:rsid w:val="38E229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200" w:firstLineChars="200"/>
      <w:jc w:val="both"/>
    </w:pPr>
    <w:rPr>
      <w:rFonts w:ascii="Times New Roman" w:hAnsi="Times New Roman" w:eastAsia="方正仿宋_GBK" w:cs="Times New Roman"/>
      <w:kern w:val="2"/>
      <w:sz w:val="32"/>
      <w:szCs w:val="20"/>
      <w:lang w:val="en-US" w:eastAsia="zh-CN" w:bidi="ar-SA"/>
    </w:rPr>
  </w:style>
  <w:style w:type="paragraph" w:styleId="2">
    <w:name w:val="heading 1"/>
    <w:basedOn w:val="1"/>
    <w:next w:val="1"/>
    <w:link w:val="40"/>
    <w:qFormat/>
    <w:uiPriority w:val="0"/>
    <w:pPr>
      <w:keepNext/>
      <w:keepLines/>
      <w:spacing w:beforeLines="50" w:afterLines="50"/>
      <w:outlineLvl w:val="0"/>
    </w:pPr>
    <w:rPr>
      <w:rFonts w:ascii="Calibri" w:hAnsi="Calibri" w:eastAsia="黑体" w:cs="Calibri"/>
      <w:b/>
      <w:bCs/>
      <w:kern w:val="44"/>
      <w:sz w:val="36"/>
      <w:szCs w:val="32"/>
    </w:rPr>
  </w:style>
  <w:style w:type="paragraph" w:styleId="3">
    <w:name w:val="heading 2"/>
    <w:basedOn w:val="1"/>
    <w:next w:val="1"/>
    <w:link w:val="41"/>
    <w:qFormat/>
    <w:uiPriority w:val="9"/>
    <w:pPr>
      <w:keepNext/>
      <w:keepLines/>
      <w:spacing w:beforeLines="50" w:afterLines="50"/>
      <w:outlineLvl w:val="1"/>
    </w:pPr>
    <w:rPr>
      <w:rFonts w:eastAsia="方正黑体_GBK"/>
      <w:szCs w:val="32"/>
    </w:rPr>
  </w:style>
  <w:style w:type="paragraph" w:styleId="4">
    <w:name w:val="heading 3"/>
    <w:basedOn w:val="1"/>
    <w:next w:val="1"/>
    <w:link w:val="42"/>
    <w:qFormat/>
    <w:uiPriority w:val="9"/>
    <w:pPr>
      <w:keepNext/>
      <w:keepLines/>
      <w:ind w:firstLine="643"/>
      <w:outlineLvl w:val="2"/>
    </w:pPr>
    <w:rPr>
      <w:rFonts w:ascii="方正楷体_GBK" w:eastAsia="方正楷体_GBK" w:cs="方正楷体_GBK"/>
      <w:b/>
      <w:bCs/>
      <w:kern w:val="0"/>
      <w:szCs w:val="32"/>
    </w:rPr>
  </w:style>
  <w:style w:type="paragraph" w:styleId="5">
    <w:name w:val="heading 4"/>
    <w:basedOn w:val="1"/>
    <w:next w:val="1"/>
    <w:link w:val="69"/>
    <w:unhideWhenUsed/>
    <w:qFormat/>
    <w:uiPriority w:val="9"/>
    <w:pPr>
      <w:keepNext/>
      <w:keepLines/>
      <w:outlineLvl w:val="3"/>
    </w:pPr>
    <w:rPr>
      <w:rFonts w:ascii="Adobe 黑体 Std R" w:hAnsi="Adobe 黑体 Std R" w:eastAsiaTheme="majorEastAsia" w:cstheme="majorBidi"/>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overflowPunct w:val="0"/>
      <w:snapToGrid w:val="0"/>
      <w:spacing w:line="579" w:lineRule="exact"/>
      <w:ind w:left="1920"/>
      <w:jc w:val="left"/>
    </w:pPr>
    <w:rPr>
      <w:rFonts w:asciiTheme="minorHAnsi" w:eastAsiaTheme="minorHAnsi"/>
      <w:kern w:val="0"/>
      <w:sz w:val="18"/>
      <w:szCs w:val="18"/>
    </w:rPr>
  </w:style>
  <w:style w:type="paragraph" w:styleId="7">
    <w:name w:val="Normal Indent"/>
    <w:basedOn w:val="1"/>
    <w:link w:val="50"/>
    <w:qFormat/>
    <w:uiPriority w:val="0"/>
    <w:pPr>
      <w:spacing w:line="240" w:lineRule="auto"/>
      <w:ind w:firstLine="420" w:firstLineChars="0"/>
    </w:pPr>
    <w:rPr>
      <w:rFonts w:eastAsia="宋体"/>
      <w:sz w:val="21"/>
    </w:rPr>
  </w:style>
  <w:style w:type="paragraph" w:styleId="8">
    <w:name w:val="caption"/>
    <w:basedOn w:val="1"/>
    <w:next w:val="1"/>
    <w:qFormat/>
    <w:uiPriority w:val="35"/>
    <w:pPr>
      <w:spacing w:line="240" w:lineRule="auto"/>
      <w:ind w:firstLine="0" w:firstLineChars="0"/>
    </w:pPr>
    <w:rPr>
      <w:rFonts w:ascii="Cambria" w:hAnsi="Cambria" w:eastAsia="黑体"/>
      <w:sz w:val="20"/>
    </w:rPr>
  </w:style>
  <w:style w:type="paragraph" w:styleId="9">
    <w:name w:val="annotation text"/>
    <w:basedOn w:val="1"/>
    <w:link w:val="70"/>
    <w:semiHidden/>
    <w:unhideWhenUsed/>
    <w:qFormat/>
    <w:uiPriority w:val="99"/>
    <w:pPr>
      <w:jc w:val="left"/>
    </w:pPr>
  </w:style>
  <w:style w:type="paragraph" w:styleId="10">
    <w:name w:val="toc 5"/>
    <w:basedOn w:val="1"/>
    <w:next w:val="1"/>
    <w:unhideWhenUsed/>
    <w:qFormat/>
    <w:uiPriority w:val="39"/>
    <w:pPr>
      <w:overflowPunct w:val="0"/>
      <w:snapToGrid w:val="0"/>
      <w:spacing w:line="579" w:lineRule="exact"/>
      <w:ind w:left="1280"/>
      <w:jc w:val="left"/>
    </w:pPr>
    <w:rPr>
      <w:rFonts w:asciiTheme="minorHAnsi" w:eastAsiaTheme="minorHAnsi"/>
      <w:kern w:val="0"/>
      <w:sz w:val="18"/>
      <w:szCs w:val="18"/>
    </w:rPr>
  </w:style>
  <w:style w:type="paragraph" w:styleId="11">
    <w:name w:val="toc 3"/>
    <w:basedOn w:val="1"/>
    <w:next w:val="1"/>
    <w:qFormat/>
    <w:uiPriority w:val="39"/>
    <w:pPr>
      <w:tabs>
        <w:tab w:val="right" w:leader="dot" w:pos="8303"/>
      </w:tabs>
      <w:ind w:firstLine="640"/>
    </w:pPr>
  </w:style>
  <w:style w:type="paragraph" w:styleId="12">
    <w:name w:val="toc 8"/>
    <w:basedOn w:val="1"/>
    <w:next w:val="1"/>
    <w:unhideWhenUsed/>
    <w:qFormat/>
    <w:uiPriority w:val="39"/>
    <w:pPr>
      <w:overflowPunct w:val="0"/>
      <w:snapToGrid w:val="0"/>
      <w:spacing w:line="579" w:lineRule="exact"/>
      <w:ind w:left="2240"/>
      <w:jc w:val="left"/>
    </w:pPr>
    <w:rPr>
      <w:rFonts w:asciiTheme="minorHAnsi" w:eastAsiaTheme="minorHAnsi"/>
      <w:kern w:val="0"/>
      <w:sz w:val="18"/>
      <w:szCs w:val="18"/>
    </w:rPr>
  </w:style>
  <w:style w:type="paragraph" w:styleId="13">
    <w:name w:val="Body Text Indent 2"/>
    <w:basedOn w:val="1"/>
    <w:link w:val="47"/>
    <w:qFormat/>
    <w:uiPriority w:val="0"/>
    <w:pPr>
      <w:spacing w:line="480" w:lineRule="auto"/>
      <w:ind w:firstLine="476" w:firstLineChars="0"/>
    </w:pPr>
    <w:rPr>
      <w:rFonts w:eastAsia="文鼎细圆简"/>
      <w:spacing w:val="16"/>
      <w:sz w:val="21"/>
    </w:rPr>
  </w:style>
  <w:style w:type="paragraph" w:styleId="14">
    <w:name w:val="endnote text"/>
    <w:basedOn w:val="1"/>
    <w:link w:val="102"/>
    <w:semiHidden/>
    <w:unhideWhenUsed/>
    <w:qFormat/>
    <w:uiPriority w:val="99"/>
    <w:pPr>
      <w:overflowPunct w:val="0"/>
      <w:snapToGrid w:val="0"/>
      <w:spacing w:line="579" w:lineRule="exact"/>
      <w:jc w:val="left"/>
    </w:pPr>
    <w:rPr>
      <w:kern w:val="0"/>
    </w:rPr>
  </w:style>
  <w:style w:type="paragraph" w:styleId="15">
    <w:name w:val="Balloon Text"/>
    <w:basedOn w:val="1"/>
    <w:link w:val="39"/>
    <w:semiHidden/>
    <w:unhideWhenUsed/>
    <w:qFormat/>
    <w:uiPriority w:val="99"/>
    <w:pPr>
      <w:spacing w:line="240" w:lineRule="auto"/>
    </w:pPr>
    <w:rPr>
      <w:sz w:val="18"/>
      <w:szCs w:val="18"/>
    </w:rPr>
  </w:style>
  <w:style w:type="paragraph" w:styleId="16">
    <w:name w:val="footer"/>
    <w:basedOn w:val="1"/>
    <w:link w:val="37"/>
    <w:unhideWhenUsed/>
    <w:uiPriority w:val="99"/>
    <w:pPr>
      <w:tabs>
        <w:tab w:val="center" w:pos="4153"/>
        <w:tab w:val="right" w:pos="8306"/>
      </w:tabs>
      <w:snapToGrid w:val="0"/>
      <w:spacing w:line="240" w:lineRule="atLeast"/>
      <w:jc w:val="left"/>
    </w:pPr>
    <w:rPr>
      <w:sz w:val="18"/>
      <w:szCs w:val="18"/>
    </w:rPr>
  </w:style>
  <w:style w:type="paragraph" w:styleId="17">
    <w:name w:val="header"/>
    <w:basedOn w:val="1"/>
    <w:link w:val="3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qFormat/>
    <w:uiPriority w:val="39"/>
    <w:pPr>
      <w:spacing w:before="120" w:after="120"/>
      <w:ind w:firstLine="0" w:firstLineChars="0"/>
      <w:jc w:val="left"/>
    </w:pPr>
    <w:rPr>
      <w:rFonts w:eastAsia="黑体" w:asciiTheme="minorHAnsi" w:hAnsiTheme="minorHAnsi"/>
      <w:b/>
      <w:bCs/>
    </w:rPr>
  </w:style>
  <w:style w:type="paragraph" w:styleId="19">
    <w:name w:val="toc 4"/>
    <w:basedOn w:val="1"/>
    <w:next w:val="1"/>
    <w:unhideWhenUsed/>
    <w:uiPriority w:val="39"/>
    <w:pPr>
      <w:overflowPunct w:val="0"/>
      <w:snapToGrid w:val="0"/>
      <w:spacing w:line="579" w:lineRule="exact"/>
      <w:ind w:left="960"/>
      <w:jc w:val="left"/>
    </w:pPr>
    <w:rPr>
      <w:rFonts w:asciiTheme="minorHAnsi" w:eastAsiaTheme="minorHAnsi"/>
      <w:kern w:val="0"/>
      <w:sz w:val="18"/>
      <w:szCs w:val="18"/>
    </w:rPr>
  </w:style>
  <w:style w:type="paragraph" w:styleId="20">
    <w:name w:val="footnote text"/>
    <w:basedOn w:val="1"/>
    <w:link w:val="103"/>
    <w:semiHidden/>
    <w:unhideWhenUsed/>
    <w:qFormat/>
    <w:uiPriority w:val="99"/>
    <w:pPr>
      <w:overflowPunct w:val="0"/>
      <w:snapToGrid w:val="0"/>
      <w:spacing w:line="579" w:lineRule="exact"/>
      <w:jc w:val="left"/>
    </w:pPr>
    <w:rPr>
      <w:kern w:val="0"/>
      <w:sz w:val="18"/>
      <w:szCs w:val="18"/>
    </w:rPr>
  </w:style>
  <w:style w:type="paragraph" w:styleId="21">
    <w:name w:val="toc 6"/>
    <w:basedOn w:val="1"/>
    <w:next w:val="1"/>
    <w:unhideWhenUsed/>
    <w:uiPriority w:val="39"/>
    <w:pPr>
      <w:overflowPunct w:val="0"/>
      <w:snapToGrid w:val="0"/>
      <w:spacing w:line="579" w:lineRule="exact"/>
      <w:ind w:left="1600"/>
      <w:jc w:val="left"/>
    </w:pPr>
    <w:rPr>
      <w:rFonts w:asciiTheme="minorHAnsi" w:eastAsiaTheme="minorHAnsi"/>
      <w:kern w:val="0"/>
      <w:sz w:val="18"/>
      <w:szCs w:val="18"/>
    </w:rPr>
  </w:style>
  <w:style w:type="paragraph" w:styleId="22">
    <w:name w:val="toc 2"/>
    <w:basedOn w:val="1"/>
    <w:next w:val="1"/>
    <w:qFormat/>
    <w:uiPriority w:val="39"/>
    <w:pPr>
      <w:spacing w:before="120"/>
      <w:ind w:left="210" w:firstLine="0" w:firstLineChars="0"/>
      <w:jc w:val="left"/>
    </w:pPr>
    <w:rPr>
      <w:rFonts w:eastAsia="黑体"/>
      <w:iCs/>
    </w:rPr>
  </w:style>
  <w:style w:type="paragraph" w:styleId="23">
    <w:name w:val="toc 9"/>
    <w:basedOn w:val="1"/>
    <w:next w:val="1"/>
    <w:unhideWhenUsed/>
    <w:uiPriority w:val="39"/>
    <w:pPr>
      <w:overflowPunct w:val="0"/>
      <w:snapToGrid w:val="0"/>
      <w:spacing w:line="579" w:lineRule="exact"/>
      <w:ind w:left="2560"/>
      <w:jc w:val="left"/>
    </w:pPr>
    <w:rPr>
      <w:rFonts w:asciiTheme="minorHAnsi" w:eastAsiaTheme="minorHAnsi"/>
      <w:kern w:val="0"/>
      <w:sz w:val="18"/>
      <w:szCs w:val="18"/>
    </w:rPr>
  </w:style>
  <w:style w:type="paragraph" w:styleId="24">
    <w:name w:val="Normal (Web)"/>
    <w:basedOn w:val="1"/>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25">
    <w:name w:val="Title"/>
    <w:basedOn w:val="1"/>
    <w:next w:val="1"/>
    <w:link w:val="74"/>
    <w:qFormat/>
    <w:uiPriority w:val="0"/>
    <w:pPr>
      <w:overflowPunct w:val="0"/>
      <w:snapToGrid w:val="0"/>
      <w:spacing w:line="720" w:lineRule="exact"/>
      <w:ind w:firstLine="0" w:firstLineChars="0"/>
      <w:jc w:val="center"/>
      <w:outlineLvl w:val="0"/>
    </w:pPr>
    <w:rPr>
      <w:rFonts w:ascii="方正小标宋简体" w:eastAsia="方正小标宋简体" w:hAnsiTheme="majorHAnsi" w:cstheme="majorBidi"/>
      <w:bCs/>
      <w:kern w:val="0"/>
      <w:sz w:val="44"/>
      <w:szCs w:val="32"/>
    </w:rPr>
  </w:style>
  <w:style w:type="table" w:styleId="27">
    <w:name w:val="Table Grid"/>
    <w:basedOn w:val="26"/>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endnote reference"/>
    <w:basedOn w:val="28"/>
    <w:semiHidden/>
    <w:unhideWhenUsed/>
    <w:qFormat/>
    <w:uiPriority w:val="99"/>
    <w:rPr>
      <w:vertAlign w:val="superscript"/>
    </w:rPr>
  </w:style>
  <w:style w:type="character" w:styleId="31">
    <w:name w:val="FollowedHyperlink"/>
    <w:basedOn w:val="28"/>
    <w:semiHidden/>
    <w:unhideWhenUsed/>
    <w:qFormat/>
    <w:uiPriority w:val="99"/>
    <w:rPr>
      <w:color w:val="800080"/>
      <w:u w:val="single"/>
    </w:rPr>
  </w:style>
  <w:style w:type="character" w:styleId="32">
    <w:name w:val="Emphasis"/>
    <w:basedOn w:val="28"/>
    <w:qFormat/>
    <w:uiPriority w:val="20"/>
    <w:rPr>
      <w:i/>
      <w:iCs/>
    </w:rPr>
  </w:style>
  <w:style w:type="character" w:styleId="33">
    <w:name w:val="Hyperlink"/>
    <w:basedOn w:val="28"/>
    <w:qFormat/>
    <w:uiPriority w:val="99"/>
    <w:rPr>
      <w:color w:val="0000FF"/>
      <w:u w:val="single"/>
    </w:rPr>
  </w:style>
  <w:style w:type="character" w:styleId="34">
    <w:name w:val="annotation reference"/>
    <w:basedOn w:val="28"/>
    <w:semiHidden/>
    <w:unhideWhenUsed/>
    <w:qFormat/>
    <w:uiPriority w:val="99"/>
    <w:rPr>
      <w:sz w:val="21"/>
      <w:szCs w:val="21"/>
    </w:rPr>
  </w:style>
  <w:style w:type="character" w:styleId="35">
    <w:name w:val="footnote reference"/>
    <w:basedOn w:val="28"/>
    <w:semiHidden/>
    <w:unhideWhenUsed/>
    <w:qFormat/>
    <w:uiPriority w:val="99"/>
    <w:rPr>
      <w:vertAlign w:val="superscript"/>
    </w:rPr>
  </w:style>
  <w:style w:type="character" w:customStyle="1" w:styleId="36">
    <w:name w:val="页眉 字符"/>
    <w:basedOn w:val="28"/>
    <w:link w:val="17"/>
    <w:qFormat/>
    <w:uiPriority w:val="99"/>
    <w:rPr>
      <w:rFonts w:ascii="Times New Roman" w:hAnsi="Times New Roman" w:eastAsia="宋体" w:cs="Times New Roman"/>
      <w:sz w:val="18"/>
      <w:szCs w:val="18"/>
    </w:rPr>
  </w:style>
  <w:style w:type="character" w:customStyle="1" w:styleId="37">
    <w:name w:val="页脚 字符"/>
    <w:basedOn w:val="28"/>
    <w:link w:val="16"/>
    <w:qFormat/>
    <w:uiPriority w:val="99"/>
    <w:rPr>
      <w:rFonts w:ascii="Times New Roman" w:hAnsi="Times New Roman" w:eastAsia="宋体" w:cs="Times New Roman"/>
      <w:sz w:val="18"/>
      <w:szCs w:val="18"/>
    </w:rPr>
  </w:style>
  <w:style w:type="paragraph" w:styleId="38">
    <w:name w:val="List Paragraph"/>
    <w:basedOn w:val="1"/>
    <w:link w:val="77"/>
    <w:qFormat/>
    <w:uiPriority w:val="34"/>
    <w:pPr>
      <w:spacing w:line="240" w:lineRule="auto"/>
      <w:ind w:firstLine="420"/>
    </w:pPr>
    <w:rPr>
      <w:rFonts w:asciiTheme="minorHAnsi" w:hAnsiTheme="minorHAnsi" w:eastAsiaTheme="minorEastAsia" w:cstheme="minorBidi"/>
      <w:sz w:val="21"/>
      <w:szCs w:val="22"/>
    </w:rPr>
  </w:style>
  <w:style w:type="character" w:customStyle="1" w:styleId="39">
    <w:name w:val="批注框文本 字符"/>
    <w:basedOn w:val="28"/>
    <w:link w:val="15"/>
    <w:semiHidden/>
    <w:qFormat/>
    <w:uiPriority w:val="99"/>
    <w:rPr>
      <w:rFonts w:ascii="Times New Roman" w:hAnsi="Times New Roman" w:eastAsia="仿宋_GB2312" w:cs="Times New Roman"/>
      <w:sz w:val="18"/>
      <w:szCs w:val="18"/>
    </w:rPr>
  </w:style>
  <w:style w:type="character" w:customStyle="1" w:styleId="40">
    <w:name w:val="标题 1 字符"/>
    <w:basedOn w:val="28"/>
    <w:link w:val="2"/>
    <w:qFormat/>
    <w:uiPriority w:val="0"/>
    <w:rPr>
      <w:rFonts w:ascii="Calibri" w:hAnsi="Calibri" w:eastAsia="黑体" w:cs="Calibri"/>
      <w:b/>
      <w:bCs/>
      <w:kern w:val="44"/>
      <w:sz w:val="36"/>
      <w:szCs w:val="32"/>
    </w:rPr>
  </w:style>
  <w:style w:type="character" w:customStyle="1" w:styleId="41">
    <w:name w:val="标题 2 字符"/>
    <w:basedOn w:val="28"/>
    <w:link w:val="3"/>
    <w:qFormat/>
    <w:uiPriority w:val="9"/>
    <w:rPr>
      <w:rFonts w:ascii="Times New Roman" w:hAnsi="Times New Roman" w:eastAsia="方正黑体_GBK" w:cs="Times New Roman"/>
      <w:sz w:val="32"/>
      <w:szCs w:val="32"/>
    </w:rPr>
  </w:style>
  <w:style w:type="character" w:customStyle="1" w:styleId="42">
    <w:name w:val="标题 3 字符1"/>
    <w:basedOn w:val="28"/>
    <w:link w:val="4"/>
    <w:qFormat/>
    <w:uiPriority w:val="9"/>
    <w:rPr>
      <w:rFonts w:ascii="方正楷体_GBK" w:hAnsi="Times New Roman" w:eastAsia="方正楷体_GBK" w:cs="方正楷体_GBK"/>
      <w:b/>
      <w:bCs/>
      <w:kern w:val="0"/>
      <w:sz w:val="32"/>
      <w:szCs w:val="32"/>
    </w:rPr>
  </w:style>
  <w:style w:type="paragraph" w:customStyle="1" w:styleId="43">
    <w:name w:val="模板正文"/>
    <w:basedOn w:val="1"/>
    <w:link w:val="44"/>
    <w:qFormat/>
    <w:uiPriority w:val="99"/>
    <w:pPr>
      <w:ind w:firstLine="640"/>
    </w:pPr>
    <w:rPr>
      <w:kern w:val="0"/>
      <w:szCs w:val="32"/>
    </w:rPr>
  </w:style>
  <w:style w:type="character" w:customStyle="1" w:styleId="44">
    <w:name w:val="模板正文 Char"/>
    <w:link w:val="43"/>
    <w:qFormat/>
    <w:locked/>
    <w:uiPriority w:val="99"/>
    <w:rPr>
      <w:rFonts w:ascii="Times New Roman" w:hAnsi="Times New Roman" w:eastAsia="方正仿宋_GBK" w:cs="Times New Roman"/>
      <w:kern w:val="0"/>
      <w:sz w:val="32"/>
      <w:szCs w:val="32"/>
    </w:rPr>
  </w:style>
  <w:style w:type="paragraph" w:customStyle="1" w:styleId="45">
    <w:name w:val="正文1"/>
    <w:basedOn w:val="1"/>
    <w:link w:val="46"/>
    <w:qFormat/>
    <w:uiPriority w:val="0"/>
    <w:rPr>
      <w:rFonts w:ascii="宋体" w:hAnsi="宋体"/>
      <w:szCs w:val="28"/>
    </w:rPr>
  </w:style>
  <w:style w:type="character" w:customStyle="1" w:styleId="46">
    <w:name w:val="正文1 Char"/>
    <w:link w:val="45"/>
    <w:qFormat/>
    <w:uiPriority w:val="0"/>
    <w:rPr>
      <w:rFonts w:ascii="宋体" w:hAnsi="宋体" w:eastAsia="方正仿宋_GBK" w:cs="Times New Roman"/>
      <w:sz w:val="32"/>
      <w:szCs w:val="28"/>
    </w:rPr>
  </w:style>
  <w:style w:type="character" w:customStyle="1" w:styleId="47">
    <w:name w:val="正文文本缩进 2 字符"/>
    <w:basedOn w:val="28"/>
    <w:link w:val="13"/>
    <w:qFormat/>
    <w:uiPriority w:val="0"/>
    <w:rPr>
      <w:rFonts w:ascii="Times New Roman" w:hAnsi="Times New Roman" w:eastAsia="文鼎细圆简" w:cs="Times New Roman"/>
      <w:spacing w:val="16"/>
      <w:szCs w:val="20"/>
    </w:rPr>
  </w:style>
  <w:style w:type="paragraph" w:customStyle="1" w:styleId="48">
    <w:name w:val="样式 宋体 小四 行距: 固定值 20 磅 首行缩进:  2 字符"/>
    <w:basedOn w:val="1"/>
    <w:qFormat/>
    <w:uiPriority w:val="0"/>
    <w:pPr>
      <w:spacing w:beforeLines="100" w:line="400" w:lineRule="exact"/>
      <w:ind w:firstLine="480"/>
    </w:pPr>
    <w:rPr>
      <w:rFonts w:ascii="宋体" w:eastAsia="宋体" w:cs="宋体"/>
      <w:sz w:val="24"/>
    </w:rPr>
  </w:style>
  <w:style w:type="paragraph" w:customStyle="1" w:styleId="49">
    <w:name w:val="Char Char1 Char Char Char Char Char Char Char Char"/>
    <w:basedOn w:val="1"/>
    <w:qFormat/>
    <w:uiPriority w:val="0"/>
    <w:pPr>
      <w:widowControl/>
      <w:spacing w:after="160" w:line="240" w:lineRule="exact"/>
      <w:ind w:firstLine="0" w:firstLineChars="0"/>
      <w:jc w:val="left"/>
    </w:pPr>
    <w:rPr>
      <w:rFonts w:ascii="Verdana" w:hAnsi="Verdana" w:eastAsia="宋体"/>
      <w:kern w:val="0"/>
      <w:sz w:val="20"/>
      <w:lang w:eastAsia="en-US"/>
    </w:rPr>
  </w:style>
  <w:style w:type="character" w:customStyle="1" w:styleId="50">
    <w:name w:val="正文缩进 字符"/>
    <w:link w:val="7"/>
    <w:qFormat/>
    <w:uiPriority w:val="0"/>
    <w:rPr>
      <w:rFonts w:ascii="Times New Roman" w:hAnsi="Times New Roman" w:eastAsia="宋体" w:cs="Times New Roman"/>
      <w:szCs w:val="20"/>
    </w:rPr>
  </w:style>
  <w:style w:type="character" w:customStyle="1" w:styleId="51">
    <w:name w:val="页眉或页脚_"/>
    <w:basedOn w:val="28"/>
    <w:link w:val="52"/>
    <w:qFormat/>
    <w:uiPriority w:val="0"/>
    <w:rPr>
      <w:rFonts w:ascii="Times New Roman" w:hAnsi="Times New Roman" w:eastAsia="Times New Roman" w:cs="Times New Roman"/>
      <w:sz w:val="20"/>
      <w:szCs w:val="20"/>
      <w:shd w:val="clear" w:color="auto" w:fill="FFFFFF"/>
    </w:rPr>
  </w:style>
  <w:style w:type="paragraph" w:customStyle="1" w:styleId="52">
    <w:name w:val="页眉或页脚"/>
    <w:basedOn w:val="1"/>
    <w:link w:val="51"/>
    <w:qFormat/>
    <w:uiPriority w:val="0"/>
    <w:pPr>
      <w:widowControl/>
      <w:shd w:val="clear" w:color="auto" w:fill="FFFFFF"/>
      <w:spacing w:line="240" w:lineRule="auto"/>
      <w:ind w:firstLine="0" w:firstLineChars="0"/>
      <w:jc w:val="left"/>
    </w:pPr>
    <w:rPr>
      <w:rFonts w:eastAsia="Times New Roman"/>
      <w:sz w:val="20"/>
    </w:rPr>
  </w:style>
  <w:style w:type="character" w:customStyle="1" w:styleId="53">
    <w:name w:val="页眉或页脚 + 宋体"/>
    <w:basedOn w:val="51"/>
    <w:qFormat/>
    <w:uiPriority w:val="0"/>
    <w:rPr>
      <w:rFonts w:ascii="宋体" w:hAnsi="宋体" w:eastAsia="宋体" w:cs="宋体"/>
      <w:sz w:val="17"/>
      <w:szCs w:val="17"/>
      <w:shd w:val="clear" w:color="auto" w:fill="FFFFFF"/>
    </w:rPr>
  </w:style>
  <w:style w:type="character" w:customStyle="1" w:styleId="54">
    <w:name w:val="页眉或页脚 + 9 pt"/>
    <w:basedOn w:val="51"/>
    <w:qFormat/>
    <w:uiPriority w:val="0"/>
    <w:rPr>
      <w:rFonts w:ascii="Times New Roman" w:hAnsi="Times New Roman" w:eastAsia="Times New Roman" w:cs="Times New Roman"/>
      <w:spacing w:val="0"/>
      <w:sz w:val="18"/>
      <w:szCs w:val="18"/>
      <w:shd w:val="clear" w:color="auto" w:fill="FFFFFF"/>
    </w:rPr>
  </w:style>
  <w:style w:type="character" w:customStyle="1" w:styleId="55">
    <w:name w:val="正文文本_"/>
    <w:basedOn w:val="28"/>
    <w:link w:val="56"/>
    <w:qFormat/>
    <w:uiPriority w:val="0"/>
    <w:rPr>
      <w:rFonts w:ascii="宋体" w:hAnsi="宋体" w:eastAsia="宋体" w:cs="宋体"/>
      <w:sz w:val="22"/>
      <w:shd w:val="clear" w:color="auto" w:fill="FFFFFF"/>
    </w:rPr>
  </w:style>
  <w:style w:type="paragraph" w:customStyle="1" w:styleId="56">
    <w:name w:val="正文文本3"/>
    <w:basedOn w:val="1"/>
    <w:link w:val="55"/>
    <w:qFormat/>
    <w:uiPriority w:val="0"/>
    <w:pPr>
      <w:widowControl/>
      <w:shd w:val="clear" w:color="auto" w:fill="FFFFFF"/>
      <w:spacing w:line="466" w:lineRule="exact"/>
      <w:ind w:hanging="1840" w:firstLineChars="0"/>
      <w:jc w:val="right"/>
    </w:pPr>
    <w:rPr>
      <w:rFonts w:ascii="宋体" w:hAnsi="宋体" w:eastAsia="宋体" w:cs="宋体"/>
      <w:sz w:val="22"/>
      <w:szCs w:val="22"/>
    </w:rPr>
  </w:style>
  <w:style w:type="character" w:customStyle="1" w:styleId="57">
    <w:name w:val="标题 #8_"/>
    <w:basedOn w:val="28"/>
    <w:link w:val="58"/>
    <w:qFormat/>
    <w:uiPriority w:val="0"/>
    <w:rPr>
      <w:rFonts w:ascii="宋体" w:hAnsi="宋体" w:eastAsia="宋体" w:cs="宋体"/>
      <w:sz w:val="22"/>
      <w:shd w:val="clear" w:color="auto" w:fill="FFFFFF"/>
    </w:rPr>
  </w:style>
  <w:style w:type="paragraph" w:customStyle="1" w:styleId="58">
    <w:name w:val="标题 #8"/>
    <w:basedOn w:val="1"/>
    <w:link w:val="57"/>
    <w:qFormat/>
    <w:uiPriority w:val="0"/>
    <w:pPr>
      <w:widowControl/>
      <w:shd w:val="clear" w:color="auto" w:fill="FFFFFF"/>
      <w:spacing w:before="360" w:after="180" w:line="0" w:lineRule="atLeast"/>
      <w:ind w:firstLine="0" w:firstLineChars="0"/>
      <w:jc w:val="distribute"/>
      <w:outlineLvl w:val="7"/>
    </w:pPr>
    <w:rPr>
      <w:rFonts w:ascii="宋体" w:hAnsi="宋体" w:eastAsia="宋体" w:cs="宋体"/>
      <w:sz w:val="22"/>
      <w:szCs w:val="22"/>
    </w:rPr>
  </w:style>
  <w:style w:type="character" w:customStyle="1" w:styleId="59">
    <w:name w:val="正文文本 (6)_"/>
    <w:basedOn w:val="28"/>
    <w:link w:val="60"/>
    <w:qFormat/>
    <w:uiPriority w:val="0"/>
    <w:rPr>
      <w:rFonts w:ascii="宋体" w:hAnsi="宋体" w:eastAsia="宋体" w:cs="宋体"/>
      <w:sz w:val="20"/>
      <w:szCs w:val="20"/>
      <w:shd w:val="clear" w:color="auto" w:fill="FFFFFF"/>
    </w:rPr>
  </w:style>
  <w:style w:type="paragraph" w:customStyle="1" w:styleId="60">
    <w:name w:val="正文文本 (6)"/>
    <w:basedOn w:val="1"/>
    <w:link w:val="59"/>
    <w:qFormat/>
    <w:uiPriority w:val="0"/>
    <w:pPr>
      <w:widowControl/>
      <w:shd w:val="clear" w:color="auto" w:fill="FFFFFF"/>
      <w:spacing w:line="307" w:lineRule="exact"/>
      <w:ind w:hanging="420" w:firstLineChars="0"/>
      <w:jc w:val="center"/>
    </w:pPr>
    <w:rPr>
      <w:rFonts w:ascii="宋体" w:hAnsi="宋体" w:eastAsia="宋体" w:cs="宋体"/>
      <w:sz w:val="20"/>
    </w:rPr>
  </w:style>
  <w:style w:type="character" w:customStyle="1" w:styleId="61">
    <w:name w:val="正文文本 (7)_"/>
    <w:basedOn w:val="28"/>
    <w:link w:val="62"/>
    <w:qFormat/>
    <w:uiPriority w:val="0"/>
    <w:rPr>
      <w:rFonts w:ascii="宋体" w:hAnsi="宋体" w:eastAsia="宋体" w:cs="宋体"/>
      <w:sz w:val="20"/>
      <w:szCs w:val="20"/>
      <w:shd w:val="clear" w:color="auto" w:fill="FFFFFF"/>
    </w:rPr>
  </w:style>
  <w:style w:type="paragraph" w:customStyle="1" w:styleId="62">
    <w:name w:val="正文文本 (7)"/>
    <w:basedOn w:val="1"/>
    <w:link w:val="61"/>
    <w:qFormat/>
    <w:uiPriority w:val="0"/>
    <w:pPr>
      <w:widowControl/>
      <w:shd w:val="clear" w:color="auto" w:fill="FFFFFF"/>
      <w:spacing w:line="0" w:lineRule="atLeast"/>
      <w:ind w:firstLine="0" w:firstLineChars="0"/>
      <w:jc w:val="left"/>
    </w:pPr>
    <w:rPr>
      <w:rFonts w:ascii="宋体" w:hAnsi="宋体" w:eastAsia="宋体" w:cs="宋体"/>
      <w:sz w:val="20"/>
    </w:rPr>
  </w:style>
  <w:style w:type="character" w:customStyle="1" w:styleId="63">
    <w:name w:val="表格标题 (3)_"/>
    <w:basedOn w:val="28"/>
    <w:link w:val="64"/>
    <w:qFormat/>
    <w:uiPriority w:val="0"/>
    <w:rPr>
      <w:rFonts w:ascii="宋体" w:hAnsi="宋体" w:eastAsia="宋体" w:cs="宋体"/>
      <w:sz w:val="20"/>
      <w:szCs w:val="20"/>
      <w:shd w:val="clear" w:color="auto" w:fill="FFFFFF"/>
    </w:rPr>
  </w:style>
  <w:style w:type="paragraph" w:customStyle="1" w:styleId="64">
    <w:name w:val="表格标题 (3)"/>
    <w:basedOn w:val="1"/>
    <w:link w:val="63"/>
    <w:qFormat/>
    <w:uiPriority w:val="0"/>
    <w:pPr>
      <w:widowControl/>
      <w:shd w:val="clear" w:color="auto" w:fill="FFFFFF"/>
      <w:spacing w:line="0" w:lineRule="atLeast"/>
      <w:ind w:firstLine="0" w:firstLineChars="0"/>
      <w:jc w:val="left"/>
    </w:pPr>
    <w:rPr>
      <w:rFonts w:ascii="宋体" w:hAnsi="宋体" w:eastAsia="宋体" w:cs="宋体"/>
      <w:sz w:val="20"/>
    </w:rPr>
  </w:style>
  <w:style w:type="character" w:customStyle="1" w:styleId="65">
    <w:name w:val="标题 #8 + 粗体"/>
    <w:basedOn w:val="57"/>
    <w:qFormat/>
    <w:uiPriority w:val="0"/>
    <w:rPr>
      <w:rFonts w:ascii="宋体" w:hAnsi="宋体" w:eastAsia="宋体" w:cs="宋体"/>
      <w:b/>
      <w:bCs/>
      <w:sz w:val="22"/>
      <w:shd w:val="clear" w:color="auto" w:fill="FFFFFF"/>
    </w:rPr>
  </w:style>
  <w:style w:type="character" w:customStyle="1" w:styleId="66">
    <w:name w:val="正文文本 + 10 pt"/>
    <w:basedOn w:val="55"/>
    <w:qFormat/>
    <w:uiPriority w:val="0"/>
    <w:rPr>
      <w:rFonts w:ascii="宋体" w:hAnsi="宋体" w:eastAsia="宋体" w:cs="宋体"/>
      <w:sz w:val="20"/>
      <w:szCs w:val="20"/>
      <w:shd w:val="clear" w:color="auto" w:fill="FFFFFF"/>
    </w:rPr>
  </w:style>
  <w:style w:type="paragraph" w:customStyle="1" w:styleId="67">
    <w:name w:val="Char1"/>
    <w:basedOn w:val="1"/>
    <w:qFormat/>
    <w:uiPriority w:val="0"/>
    <w:pPr>
      <w:spacing w:line="240" w:lineRule="auto"/>
      <w:ind w:firstLine="0" w:firstLineChars="0"/>
    </w:pPr>
    <w:rPr>
      <w:rFonts w:ascii="Tahoma" w:hAnsi="Tahoma" w:eastAsia="宋体"/>
      <w:sz w:val="24"/>
    </w:rPr>
  </w:style>
  <w:style w:type="paragraph" w:styleId="68">
    <w:name w:val="No Spacing"/>
    <w:link w:val="106"/>
    <w:qFormat/>
    <w:uiPriority w:val="1"/>
    <w:pPr>
      <w:widowControl w:val="0"/>
      <w:spacing w:beforeLines="50" w:afterLines="50" w:line="590" w:lineRule="exact"/>
      <w:jc w:val="center"/>
    </w:pPr>
    <w:rPr>
      <w:rFonts w:ascii="Times New Roman" w:hAnsi="Times New Roman" w:eastAsia="黑体" w:cs="Times New Roman"/>
      <w:kern w:val="2"/>
      <w:sz w:val="36"/>
      <w:szCs w:val="20"/>
      <w:lang w:val="en-US" w:eastAsia="zh-CN" w:bidi="ar-SA"/>
    </w:rPr>
  </w:style>
  <w:style w:type="character" w:customStyle="1" w:styleId="69">
    <w:name w:val="标题 4 字符"/>
    <w:basedOn w:val="28"/>
    <w:link w:val="5"/>
    <w:qFormat/>
    <w:uiPriority w:val="9"/>
    <w:rPr>
      <w:rFonts w:ascii="Adobe 黑体 Std R" w:hAnsi="Adobe 黑体 Std R" w:eastAsiaTheme="majorEastAsia" w:cstheme="majorBidi"/>
      <w:b/>
      <w:bCs/>
      <w:sz w:val="32"/>
      <w:szCs w:val="28"/>
    </w:rPr>
  </w:style>
  <w:style w:type="character" w:customStyle="1" w:styleId="70">
    <w:name w:val="批注文字 字符"/>
    <w:basedOn w:val="28"/>
    <w:link w:val="9"/>
    <w:semiHidden/>
    <w:qFormat/>
    <w:uiPriority w:val="99"/>
    <w:rPr>
      <w:rFonts w:ascii="Times New Roman" w:hAnsi="Times New Roman" w:eastAsia="仿宋_GB2312" w:cs="Times New Roman"/>
      <w:sz w:val="28"/>
      <w:szCs w:val="20"/>
    </w:rPr>
  </w:style>
  <w:style w:type="paragraph" w:customStyle="1" w:styleId="71">
    <w:name w:val="正文文本1"/>
    <w:basedOn w:val="1"/>
    <w:qFormat/>
    <w:uiPriority w:val="0"/>
    <w:pPr>
      <w:shd w:val="clear" w:color="auto" w:fill="FFFFFF"/>
      <w:spacing w:line="374" w:lineRule="auto"/>
      <w:ind w:firstLine="400" w:firstLineChars="0"/>
      <w:jc w:val="left"/>
    </w:pPr>
    <w:rPr>
      <w:rFonts w:ascii="MingLiU" w:hAnsi="MingLiU" w:eastAsia="MingLiU" w:cs="MingLiU"/>
      <w:color w:val="000000"/>
      <w:kern w:val="0"/>
      <w:sz w:val="30"/>
      <w:szCs w:val="30"/>
      <w:lang w:val="zh-CN" w:bidi="zh-CN"/>
    </w:rPr>
  </w:style>
  <w:style w:type="paragraph" w:customStyle="1" w:styleId="72">
    <w:name w:val="TOC Heading"/>
    <w:basedOn w:val="2"/>
    <w:next w:val="1"/>
    <w:unhideWhenUsed/>
    <w:qFormat/>
    <w:uiPriority w:val="39"/>
    <w:pPr>
      <w:widowControl/>
      <w:spacing w:beforeLines="0" w:afterLines="0" w:line="259" w:lineRule="auto"/>
      <w:jc w:val="left"/>
      <w:outlineLvl w:val="9"/>
    </w:pPr>
    <w:rPr>
      <w:rFonts w:asciiTheme="majorHAnsi" w:hAnsiTheme="majorHAnsi" w:eastAsiaTheme="majorEastAsia" w:cstheme="majorBidi"/>
      <w:b w:val="0"/>
      <w:bCs w:val="0"/>
      <w:color w:val="2E75B6" w:themeColor="accent1" w:themeShade="BF"/>
      <w:kern w:val="0"/>
      <w:sz w:val="32"/>
    </w:rPr>
  </w:style>
  <w:style w:type="paragraph" w:customStyle="1" w:styleId="73">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74">
    <w:name w:val="标题 字符"/>
    <w:basedOn w:val="28"/>
    <w:link w:val="25"/>
    <w:qFormat/>
    <w:uiPriority w:val="0"/>
    <w:rPr>
      <w:rFonts w:ascii="方正小标宋简体" w:eastAsia="方正小标宋简体" w:hAnsiTheme="majorHAnsi" w:cstheme="majorBidi"/>
      <w:bCs/>
      <w:kern w:val="0"/>
      <w:sz w:val="44"/>
      <w:szCs w:val="32"/>
    </w:rPr>
  </w:style>
  <w:style w:type="character" w:customStyle="1" w:styleId="75">
    <w:name w:val="标题 3 字符"/>
    <w:basedOn w:val="28"/>
    <w:qFormat/>
    <w:uiPriority w:val="9"/>
    <w:rPr>
      <w:rFonts w:ascii="Times New Roman" w:hAnsi="Times New Roman" w:eastAsia="方正仿宋简体" w:cs="Times New Roman"/>
      <w:b/>
      <w:bCs/>
      <w:snapToGrid w:val="0"/>
      <w:kern w:val="0"/>
      <w:sz w:val="32"/>
      <w:szCs w:val="32"/>
    </w:rPr>
  </w:style>
  <w:style w:type="paragraph" w:customStyle="1" w:styleId="76">
    <w:name w:val="标题 41"/>
    <w:basedOn w:val="1"/>
    <w:next w:val="1"/>
    <w:semiHidden/>
    <w:unhideWhenUsed/>
    <w:qFormat/>
    <w:uiPriority w:val="9"/>
    <w:pPr>
      <w:keepNext/>
      <w:keepLines/>
      <w:spacing w:line="377" w:lineRule="auto"/>
      <w:ind w:firstLine="0" w:firstLineChars="0"/>
      <w:outlineLvl w:val="3"/>
    </w:pPr>
    <w:rPr>
      <w:rFonts w:ascii="Calibri Light" w:hAnsi="Calibri Light" w:eastAsia="宋体"/>
      <w:b/>
      <w:bCs/>
      <w:sz w:val="28"/>
      <w:szCs w:val="28"/>
    </w:rPr>
  </w:style>
  <w:style w:type="character" w:customStyle="1" w:styleId="77">
    <w:name w:val="列表段落 字符"/>
    <w:link w:val="38"/>
    <w:qFormat/>
    <w:uiPriority w:val="34"/>
  </w:style>
  <w:style w:type="paragraph" w:customStyle="1" w:styleId="78">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79">
    <w:name w:val="xl65"/>
    <w:basedOn w:val="1"/>
    <w:qFormat/>
    <w:uiPriority w:val="0"/>
    <w:pPr>
      <w:widowControl/>
      <w:spacing w:before="100" w:beforeAutospacing="1" w:after="100" w:afterAutospacing="1" w:line="240" w:lineRule="auto"/>
      <w:ind w:firstLine="0" w:firstLineChars="0"/>
      <w:jc w:val="center"/>
      <w:textAlignment w:val="center"/>
    </w:pPr>
    <w:rPr>
      <w:rFonts w:ascii="微软雅黑" w:hAnsi="微软雅黑" w:eastAsia="微软雅黑" w:cs="宋体"/>
      <w:b/>
      <w:bCs/>
      <w:kern w:val="0"/>
      <w:sz w:val="16"/>
      <w:szCs w:val="16"/>
    </w:rPr>
  </w:style>
  <w:style w:type="paragraph" w:customStyle="1" w:styleId="80">
    <w:name w:val="xl66"/>
    <w:basedOn w:val="1"/>
    <w:uiPriority w:val="0"/>
    <w:pPr>
      <w:widowControl/>
      <w:spacing w:before="100" w:beforeAutospacing="1" w:after="100" w:afterAutospacing="1" w:line="240" w:lineRule="auto"/>
      <w:ind w:firstLine="0" w:firstLineChars="0"/>
      <w:jc w:val="center"/>
      <w:textAlignment w:val="center"/>
    </w:pPr>
    <w:rPr>
      <w:rFonts w:ascii="微软雅黑" w:hAnsi="微软雅黑" w:eastAsia="微软雅黑" w:cs="宋体"/>
      <w:kern w:val="0"/>
      <w:sz w:val="16"/>
      <w:szCs w:val="16"/>
    </w:rPr>
  </w:style>
  <w:style w:type="paragraph" w:customStyle="1" w:styleId="81">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kern w:val="0"/>
      <w:sz w:val="16"/>
      <w:szCs w:val="16"/>
    </w:rPr>
  </w:style>
  <w:style w:type="paragraph" w:customStyle="1" w:styleId="8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color w:val="000000"/>
      <w:kern w:val="0"/>
      <w:sz w:val="16"/>
      <w:szCs w:val="16"/>
    </w:rPr>
  </w:style>
  <w:style w:type="paragraph" w:customStyle="1" w:styleId="83">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Wingdings" w:hAnsi="Wingdings" w:eastAsia="宋体" w:cs="宋体"/>
      <w:color w:val="000000"/>
      <w:kern w:val="0"/>
      <w:sz w:val="16"/>
      <w:szCs w:val="16"/>
    </w:rPr>
  </w:style>
  <w:style w:type="paragraph" w:customStyle="1" w:styleId="84">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Wingdings" w:hAnsi="Wingdings" w:eastAsia="宋体" w:cs="宋体"/>
      <w:kern w:val="0"/>
      <w:sz w:val="16"/>
      <w:szCs w:val="16"/>
    </w:rPr>
  </w:style>
  <w:style w:type="paragraph" w:customStyle="1" w:styleId="85">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color w:val="000000"/>
      <w:kern w:val="0"/>
      <w:sz w:val="16"/>
      <w:szCs w:val="16"/>
    </w:rPr>
  </w:style>
  <w:style w:type="paragraph" w:customStyle="1" w:styleId="86">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kern w:val="0"/>
      <w:sz w:val="16"/>
      <w:szCs w:val="16"/>
    </w:rPr>
  </w:style>
  <w:style w:type="paragraph" w:customStyle="1" w:styleId="87">
    <w:name w:val="xl73"/>
    <w:basedOn w:val="1"/>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b/>
      <w:bCs/>
      <w:kern w:val="0"/>
      <w:sz w:val="16"/>
      <w:szCs w:val="16"/>
    </w:rPr>
  </w:style>
  <w:style w:type="paragraph" w:customStyle="1" w:styleId="88">
    <w:name w:val="xl74"/>
    <w:basedOn w:val="1"/>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b/>
      <w:bCs/>
      <w:kern w:val="0"/>
      <w:sz w:val="16"/>
      <w:szCs w:val="16"/>
    </w:rPr>
  </w:style>
  <w:style w:type="paragraph" w:customStyle="1" w:styleId="89">
    <w:name w:val="xl75"/>
    <w:basedOn w:val="1"/>
    <w:uiPriority w:val="0"/>
    <w:pPr>
      <w:widowControl/>
      <w:pBdr>
        <w:top w:val="single" w:color="auto" w:sz="12" w:space="0"/>
        <w:left w:val="single" w:color="auto" w:sz="4" w:space="0"/>
        <w:bottom w:val="single" w:color="auto" w:sz="4" w:space="0"/>
        <w:right w:val="single" w:color="auto" w:sz="12" w:space="0"/>
      </w:pBdr>
      <w:spacing w:before="100" w:beforeAutospacing="1" w:after="100" w:afterAutospacing="1" w:line="240" w:lineRule="auto"/>
      <w:ind w:firstLine="0" w:firstLineChars="0"/>
      <w:jc w:val="center"/>
      <w:textAlignment w:val="center"/>
    </w:pPr>
    <w:rPr>
      <w:rFonts w:ascii="微软雅黑" w:hAnsi="微软雅黑" w:eastAsia="微软雅黑" w:cs="宋体"/>
      <w:b/>
      <w:bCs/>
      <w:kern w:val="0"/>
      <w:sz w:val="16"/>
      <w:szCs w:val="16"/>
    </w:rPr>
  </w:style>
  <w:style w:type="paragraph" w:customStyle="1" w:styleId="90">
    <w:name w:val="xl76"/>
    <w:basedOn w:val="1"/>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kern w:val="0"/>
      <w:sz w:val="16"/>
      <w:szCs w:val="16"/>
    </w:rPr>
  </w:style>
  <w:style w:type="paragraph" w:customStyle="1" w:styleId="91">
    <w:name w:val="xl77"/>
    <w:basedOn w:val="1"/>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line="240" w:lineRule="auto"/>
      <w:ind w:firstLine="0" w:firstLineChars="0"/>
      <w:jc w:val="center"/>
      <w:textAlignment w:val="center"/>
    </w:pPr>
    <w:rPr>
      <w:rFonts w:ascii="微软雅黑" w:hAnsi="微软雅黑" w:eastAsia="微软雅黑" w:cs="宋体"/>
      <w:kern w:val="0"/>
      <w:sz w:val="16"/>
      <w:szCs w:val="16"/>
    </w:rPr>
  </w:style>
  <w:style w:type="paragraph" w:customStyle="1" w:styleId="92">
    <w:name w:val="xl78"/>
    <w:basedOn w:val="1"/>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line="240" w:lineRule="auto"/>
      <w:ind w:firstLine="0" w:firstLineChars="0"/>
      <w:jc w:val="center"/>
      <w:textAlignment w:val="center"/>
    </w:pPr>
    <w:rPr>
      <w:rFonts w:ascii="微软雅黑" w:hAnsi="微软雅黑" w:eastAsia="微软雅黑" w:cs="宋体"/>
      <w:color w:val="000000"/>
      <w:kern w:val="0"/>
      <w:sz w:val="16"/>
      <w:szCs w:val="16"/>
    </w:rPr>
  </w:style>
  <w:style w:type="paragraph" w:customStyle="1" w:styleId="93">
    <w:name w:val="xl79"/>
    <w:basedOn w:val="1"/>
    <w:uiPriority w:val="0"/>
    <w:pPr>
      <w:widowControl/>
      <w:pBdr>
        <w:top w:val="single" w:color="auto" w:sz="4" w:space="0"/>
        <w:left w:val="single" w:color="auto" w:sz="12" w:space="0"/>
        <w:bottom w:val="single" w:color="auto" w:sz="12"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kern w:val="0"/>
      <w:sz w:val="16"/>
      <w:szCs w:val="16"/>
    </w:rPr>
  </w:style>
  <w:style w:type="paragraph" w:customStyle="1" w:styleId="94">
    <w:name w:val="xl80"/>
    <w:basedOn w:val="1"/>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kern w:val="0"/>
      <w:sz w:val="16"/>
      <w:szCs w:val="16"/>
    </w:rPr>
  </w:style>
  <w:style w:type="paragraph" w:customStyle="1" w:styleId="95">
    <w:name w:val="xl81"/>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color w:val="000000"/>
      <w:kern w:val="0"/>
      <w:sz w:val="16"/>
      <w:szCs w:val="16"/>
    </w:rPr>
  </w:style>
  <w:style w:type="paragraph" w:customStyle="1" w:styleId="96">
    <w:name w:val="xl82"/>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line="240" w:lineRule="auto"/>
      <w:ind w:firstLine="0" w:firstLineChars="0"/>
      <w:jc w:val="center"/>
      <w:textAlignment w:val="center"/>
    </w:pPr>
    <w:rPr>
      <w:rFonts w:ascii="微软雅黑" w:hAnsi="微软雅黑" w:eastAsia="微软雅黑" w:cs="宋体"/>
      <w:color w:val="000000"/>
      <w:kern w:val="0"/>
      <w:sz w:val="16"/>
      <w:szCs w:val="16"/>
    </w:rPr>
  </w:style>
  <w:style w:type="paragraph" w:customStyle="1" w:styleId="97">
    <w:name w:val="xl83"/>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line="240" w:lineRule="auto"/>
      <w:ind w:firstLine="0" w:firstLineChars="0"/>
      <w:jc w:val="center"/>
      <w:textAlignment w:val="center"/>
    </w:pPr>
    <w:rPr>
      <w:rFonts w:ascii="Wingdings" w:hAnsi="Wingdings" w:eastAsia="宋体" w:cs="宋体"/>
      <w:color w:val="000000"/>
      <w:kern w:val="0"/>
      <w:sz w:val="16"/>
      <w:szCs w:val="16"/>
    </w:rPr>
  </w:style>
  <w:style w:type="paragraph" w:customStyle="1" w:styleId="98">
    <w:name w:val="xl84"/>
    <w:basedOn w:val="1"/>
    <w:qFormat/>
    <w:uiPriority w:val="0"/>
    <w:pPr>
      <w:widowControl/>
      <w:pBdr>
        <w:top w:val="single" w:color="auto" w:sz="4" w:space="0"/>
        <w:left w:val="single" w:color="auto" w:sz="4" w:space="0"/>
        <w:bottom w:val="single" w:color="auto" w:sz="12" w:space="0"/>
        <w:right w:val="single" w:color="auto" w:sz="12" w:space="0"/>
      </w:pBdr>
      <w:spacing w:before="100" w:beforeAutospacing="1" w:after="100" w:afterAutospacing="1" w:line="240" w:lineRule="auto"/>
      <w:ind w:firstLine="0" w:firstLineChars="0"/>
      <w:jc w:val="center"/>
      <w:textAlignment w:val="center"/>
    </w:pPr>
    <w:rPr>
      <w:rFonts w:ascii="微软雅黑" w:hAnsi="微软雅黑" w:eastAsia="微软雅黑" w:cs="宋体"/>
      <w:kern w:val="0"/>
      <w:sz w:val="16"/>
      <w:szCs w:val="16"/>
    </w:rPr>
  </w:style>
  <w:style w:type="paragraph" w:customStyle="1" w:styleId="99">
    <w:name w:val="题注1"/>
    <w:basedOn w:val="1"/>
    <w:next w:val="1"/>
    <w:unhideWhenUsed/>
    <w:qFormat/>
    <w:uiPriority w:val="35"/>
    <w:pPr>
      <w:spacing w:line="360" w:lineRule="auto"/>
      <w:ind w:firstLine="0" w:firstLineChars="0"/>
    </w:pPr>
    <w:rPr>
      <w:rFonts w:ascii="Calibri Light" w:hAnsi="Calibri Light" w:eastAsia="黑体"/>
      <w:sz w:val="20"/>
    </w:rPr>
  </w:style>
  <w:style w:type="character" w:customStyle="1" w:styleId="100">
    <w:name w:val="标题 4 字符1"/>
    <w:basedOn w:val="28"/>
    <w:semiHidden/>
    <w:qFormat/>
    <w:uiPriority w:val="9"/>
    <w:rPr>
      <w:rFonts w:asciiTheme="majorHAnsi" w:hAnsiTheme="majorHAnsi" w:eastAsiaTheme="majorEastAsia" w:cstheme="majorBidi"/>
      <w:b/>
      <w:bCs/>
      <w:kern w:val="0"/>
      <w:sz w:val="28"/>
      <w:szCs w:val="28"/>
    </w:rPr>
  </w:style>
  <w:style w:type="paragraph" w:customStyle="1" w:styleId="101">
    <w:name w:val="Revision"/>
    <w:hidden/>
    <w:semiHidden/>
    <w:qFormat/>
    <w:uiPriority w:val="99"/>
    <w:rPr>
      <w:rFonts w:ascii="Times New Roman" w:hAnsi="Times New Roman" w:eastAsia="方正仿宋_GBK" w:cs="Times New Roman"/>
      <w:kern w:val="0"/>
      <w:sz w:val="32"/>
      <w:szCs w:val="20"/>
      <w:lang w:val="en-US" w:eastAsia="zh-CN" w:bidi="ar-SA"/>
    </w:rPr>
  </w:style>
  <w:style w:type="character" w:customStyle="1" w:styleId="102">
    <w:name w:val="尾注文本 字符"/>
    <w:basedOn w:val="28"/>
    <w:link w:val="14"/>
    <w:semiHidden/>
    <w:qFormat/>
    <w:uiPriority w:val="99"/>
    <w:rPr>
      <w:rFonts w:ascii="Times New Roman" w:hAnsi="Times New Roman" w:eastAsia="方正仿宋_GBK" w:cs="Times New Roman"/>
      <w:kern w:val="0"/>
      <w:sz w:val="32"/>
      <w:szCs w:val="20"/>
    </w:rPr>
  </w:style>
  <w:style w:type="character" w:customStyle="1" w:styleId="103">
    <w:name w:val="脚注文本 字符"/>
    <w:basedOn w:val="28"/>
    <w:link w:val="20"/>
    <w:semiHidden/>
    <w:qFormat/>
    <w:uiPriority w:val="99"/>
    <w:rPr>
      <w:rFonts w:ascii="Times New Roman" w:hAnsi="Times New Roman" w:eastAsia="方正仿宋_GBK" w:cs="Times New Roman"/>
      <w:kern w:val="0"/>
      <w:sz w:val="18"/>
      <w:szCs w:val="18"/>
    </w:rPr>
  </w:style>
  <w:style w:type="table" w:customStyle="1" w:styleId="104">
    <w:name w:val="网格表 5 深色1"/>
    <w:basedOn w:val="26"/>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05">
    <w:name w:val="网格表 4 - 着色 31"/>
    <w:basedOn w:val="26"/>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106">
    <w:name w:val="无间隔 字符"/>
    <w:link w:val="68"/>
    <w:qFormat/>
    <w:uiPriority w:val="1"/>
    <w:rPr>
      <w:rFonts w:ascii="Times New Roman" w:hAnsi="Times New Roman" w:eastAsia="黑体" w:cs="Times New Roman"/>
      <w:sz w:val="36"/>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7FB6-2229-43F4-8B16-2288F61950C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20666</Words>
  <Characters>21418</Characters>
  <Lines>156</Lines>
  <Paragraphs>44</Paragraphs>
  <TotalTime>2324</TotalTime>
  <ScaleCrop>false</ScaleCrop>
  <LinksUpToDate>false</LinksUpToDate>
  <CharactersWithSpaces>21423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2021-08-24T12:45:00Z</dcterms:created>
  <dc:creator>364519445@qq.com</dc:creator>
  <cp:lastModifiedBy>路叶芬</cp:lastModifiedBy>
  <cp:lastPrinted>2022-04-21T06:33:00Z</cp:lastPrinted>
  <dcterms:modified xsi:type="dcterms:W3CDTF">2022-04-26T07:47:53Z</dcterms:modified>
  <cp:revision>357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C8D5E222215C4930BBB2F167A5C839A9</vt:lpwstr>
  </property>
</Properties>
</file>